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2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0" w:right="53" w:hanging="10"/>
        <w:jc w:val="right"/>
        <w:spacing w:after="0" w:line="259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Утверждено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</w:r>
      <w:r>
        <w:rPr>
          <w:b/>
          <w:bCs/>
          <w:color w:val="000000" w:themeColor="text1"/>
          <w:sz w:val="32"/>
          <w:szCs w:val="32"/>
        </w:rPr>
      </w:r>
    </w:p>
    <w:p>
      <w:pPr>
        <w:ind w:right="2" w:firstLine="0"/>
        <w:jc w:val="right"/>
        <w:spacing w:after="0" w:line="259" w:lineRule="auto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Приказом № </w:t>
      </w:r>
      <w:r>
        <w:rPr>
          <w:color w:val="000000" w:themeColor="text1"/>
          <w:sz w:val="32"/>
          <w:szCs w:val="32"/>
        </w:rPr>
        <w:t xml:space="preserve">___ </w:t>
      </w:r>
      <w:r>
        <w:rPr>
          <w:color w:val="000000" w:themeColor="text1"/>
          <w:sz w:val="32"/>
          <w:szCs w:val="32"/>
        </w:rPr>
        <w:t xml:space="preserve">Директора Ассоциации «Альянс 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ind w:left="10" w:right="2" w:hanging="10"/>
        <w:jc w:val="right"/>
        <w:spacing w:after="0" w:line="259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сфере искусственного интеллекта»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ind w:left="10" w:right="2" w:hanging="10"/>
        <w:jc w:val="right"/>
        <w:spacing w:after="0" w:line="259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«</w:t>
      </w:r>
      <w:r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     </w:t>
      </w:r>
      <w:r>
        <w:rPr>
          <w:color w:val="000000" w:themeColor="text1"/>
          <w:sz w:val="32"/>
          <w:szCs w:val="32"/>
        </w:rPr>
        <w:t xml:space="preserve">»</w:t>
      </w:r>
      <w:r>
        <w:rPr>
          <w:color w:val="000000" w:themeColor="text1"/>
          <w:sz w:val="32"/>
          <w:szCs w:val="32"/>
        </w:rPr>
        <w:t xml:space="preserve">             </w:t>
      </w:r>
      <w:r>
        <w:rPr>
          <w:color w:val="000000" w:themeColor="text1"/>
          <w:sz w:val="32"/>
          <w:szCs w:val="32"/>
        </w:rPr>
        <w:t xml:space="preserve">20__г.</w:t>
      </w:r>
      <w:r>
        <w:rPr>
          <w:color w:val="000000" w:themeColor="text1"/>
          <w:sz w:val="32"/>
          <w:szCs w:val="32"/>
        </w:rPr>
      </w:r>
      <w:r>
        <w:rPr>
          <w:color w:val="000000" w:themeColor="text1"/>
          <w:sz w:val="32"/>
          <w:szCs w:val="32"/>
        </w:rPr>
      </w:r>
    </w:p>
    <w:p>
      <w:pPr>
        <w:ind w:right="119" w:firstLine="0"/>
        <w:jc w:val="center"/>
        <w:spacing w:after="0" w:line="25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ИНСТРУКТИВНО-МЕТОДИЧЕСКИЕ МАТЕРИАЛЫ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ДЛЯ ЭКСПЕРТОВ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9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 профессионально-общественной аккредитации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left="851"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образовательных программ в области искусственного интеллекта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right="1151" w:firstLine="0"/>
        <w:jc w:val="center"/>
        <w:spacing w:after="0" w:line="25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511" w:right="566" w:hanging="10"/>
        <w:jc w:val="center"/>
        <w:spacing w:after="3" w:line="259" w:lineRule="auto"/>
        <w:rPr>
          <w:color w:val="000000" w:themeColor="text1"/>
        </w:rPr>
      </w:pPr>
      <w:r>
        <w:rPr>
          <w:color w:val="000000" w:themeColor="text1"/>
        </w:rPr>
        <w:t xml:space="preserve">г. </w:t>
      </w:r>
      <w:r>
        <w:rPr>
          <w:color w:val="000000" w:themeColor="text1"/>
        </w:rPr>
        <w:t xml:space="preserve">Москва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511" w:right="566" w:hanging="10"/>
        <w:jc w:val="center"/>
        <w:spacing w:after="3" w:line="259" w:lineRule="auto"/>
        <w:rPr>
          <w:color w:val="000000" w:themeColor="text1"/>
        </w:rPr>
      </w:pPr>
      <w:r>
        <w:rPr>
          <w:color w:val="000000" w:themeColor="text1"/>
        </w:rPr>
        <w:t xml:space="preserve">20__</w:t>
      </w:r>
      <w:r>
        <w:rPr>
          <w:color w:val="000000" w:themeColor="text1"/>
        </w:rPr>
        <w:t xml:space="preserve"> г.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2881" w:right="0" w:firstLine="0"/>
        <w:jc w:val="center"/>
        <w:spacing w:after="1202" w:line="259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  <w:t xml:space="preserve"> </w:t>
      </w:r>
      <w:r>
        <w:rPr>
          <w:b/>
          <w:color w:val="000000" w:themeColor="text1"/>
        </w:rPr>
        <w:br w:type="page" w:clear="all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sdt>
      <w:sdtPr>
        <w15:appearance w15:val="boundingBox"/>
        <w:id w:val="-754519296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000000" w:themeColor="text1"/>
          <w:sz w:val="28"/>
          <w:szCs w:val="22"/>
        </w:rPr>
      </w:sdtPr>
      <w:sdtContent>
        <w:p>
          <w:pPr>
            <w:pStyle w:val="985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Оглавление</w:t>
          </w:r>
          <w:r>
            <w:rPr>
              <w:color w:val="000000" w:themeColor="text1"/>
            </w:rPr>
          </w:r>
          <w:r>
            <w:rPr>
              <w:color w:val="000000" w:themeColor="text1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>
            <w:rPr>
              <w:color w:val="000000" w:themeColor="text1"/>
            </w:rPr>
            <w:fldChar w:fldCharType="begin"/>
          </w:r>
          <w:r>
            <w:rPr>
              <w:color w:val="000000" w:themeColor="text1"/>
            </w:rPr>
            <w:instrText xml:space="preserve"> TOC \o "1-3" \h \z \u </w:instrText>
          </w:r>
          <w:r>
            <w:rPr>
              <w:color w:val="000000" w:themeColor="text1"/>
            </w:rPr>
            <w:fldChar w:fldCharType="separate"/>
          </w:r>
          <w:hyperlink w:tooltip="#_Toc63250762" w:anchor="_Toc63250762" w:history="1">
            <w:r>
              <w:rPr>
                <w:rStyle w:val="987"/>
                <w:color w:val="000000" w:themeColor="text1"/>
              </w:rPr>
              <w:t xml:space="preserve">1.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Общие положения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_Toc63250762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3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3" w:anchor="_Toc63250763" w:history="1">
            <w:r>
              <w:rPr>
                <w:rStyle w:val="987"/>
                <w:bCs/>
                <w:color w:val="000000" w:themeColor="text1"/>
              </w:rPr>
              <w:t xml:space="preserve">2.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Цель и задачи профессионально-общественной аккредитации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_Toc63250763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5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4" w:anchor="_Toc63250764" w:history="1">
            <w:r>
              <w:rPr>
                <w:rStyle w:val="987"/>
                <w:color w:val="000000" w:themeColor="text1"/>
              </w:rPr>
              <w:t xml:space="preserve">3.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Термины и определения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_Toc63250764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7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5" w:anchor="_Toc63250765" w:history="1">
            <w:r>
              <w:rPr>
                <w:rStyle w:val="987"/>
                <w:color w:val="000000" w:themeColor="text1"/>
              </w:rPr>
              <w:t xml:space="preserve">4.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Требования к экспертам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_Toc63250765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9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6" w:anchor="_Toc63250766" w:history="1">
            <w:r>
              <w:rPr>
                <w:rStyle w:val="987"/>
                <w:color w:val="000000" w:themeColor="text1"/>
              </w:rPr>
              <w:t xml:space="preserve">5.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Права и обязанности экспертов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_Toc63250766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7" w:anchor="_Toc63250767" w:history="1">
            <w:r>
              <w:rPr>
                <w:rStyle w:val="987"/>
                <w:color w:val="000000" w:themeColor="text1"/>
              </w:rPr>
              <w:t xml:space="preserve">6.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Организация работы экспертов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_Toc63250767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13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1004"/>
            <w:tabs>
              <w:tab w:val="left" w:pos="1540" w:leader="none"/>
              <w:tab w:val="right" w:pos="9489" w:leader="dot"/>
            </w:tabs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8" w:anchor="_Toc63250768" w:history="1">
            <w:r>
              <w:rPr>
                <w:rStyle w:val="987"/>
                <w:color w:val="000000" w:themeColor="text1"/>
              </w:rPr>
              <w:t xml:space="preserve">6.1.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Анализ отчета о самообследовании образовательной программы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_Toc63250768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1004"/>
            <w:tabs>
              <w:tab w:val="left" w:pos="1540" w:leader="none"/>
              <w:tab w:val="right" w:pos="9489" w:leader="dot"/>
            </w:tabs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69" w:anchor="_Toc63250769" w:history="1">
            <w:r>
              <w:rPr>
                <w:rStyle w:val="987"/>
                <w:color w:val="000000" w:themeColor="text1"/>
              </w:rPr>
              <w:t xml:space="preserve">6.2.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Проведение очного визита в организацию, осуществляющую образовательную деятельность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_Toc63250769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17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1004"/>
            <w:tabs>
              <w:tab w:val="left" w:pos="1540" w:leader="none"/>
              <w:tab w:val="right" w:pos="9489" w:leader="dot"/>
            </w:tabs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70" w:anchor="_Toc63250770" w:history="1">
            <w:r>
              <w:rPr>
                <w:rStyle w:val="987"/>
                <w:color w:val="000000" w:themeColor="text1"/>
              </w:rPr>
              <w:t xml:space="preserve">6.3.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Подготовка отчета эксперта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_Toc63250770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27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1004"/>
            <w:tabs>
              <w:tab w:val="left" w:pos="1540" w:leader="none"/>
              <w:tab w:val="right" w:pos="9489" w:leader="dot"/>
            </w:tabs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71" w:anchor="_Toc63250771" w:history="1">
            <w:r>
              <w:rPr>
                <w:rStyle w:val="987"/>
                <w:color w:val="000000" w:themeColor="text1"/>
              </w:rPr>
              <w:t xml:space="preserve">6.4.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Подготовка отчета экспертной комиссии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_Toc63250771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30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72" w:anchor="_Toc63250772" w:history="1">
            <w:r>
              <w:rPr>
                <w:rStyle w:val="987"/>
                <w:color w:val="000000" w:themeColor="text1"/>
              </w:rPr>
              <w:t xml:space="preserve">7.</w:t>
            </w: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</w:rPr>
              <w:tab/>
            </w:r>
            <w:r>
              <w:rPr>
                <w:rStyle w:val="987"/>
                <w:color w:val="000000" w:themeColor="text1"/>
              </w:rPr>
              <w:t xml:space="preserve">Показатели профессионально-общественной аккредитации образовательных программ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_Toc63250772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33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73" w:anchor="_Toc63250773" w:history="1">
            <w:r>
              <w:rPr>
                <w:rStyle w:val="987"/>
                <w:color w:val="000000" w:themeColor="text1"/>
              </w:rPr>
              <w:t xml:space="preserve">Приложение 1 Форма отчета эксперта по результатам аккредитационной экспертизы образовательной программы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_Toc63250773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37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pStyle w:val="986"/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pPr>
          <w:r/>
          <w:hyperlink w:tooltip="#_Toc63250774" w:anchor="_Toc63250774" w:history="1">
            <w:r>
              <w:rPr>
                <w:rStyle w:val="987"/>
                <w:color w:val="000000" w:themeColor="text1"/>
              </w:rPr>
              <w:t xml:space="preserve">Приложение 2 Рекомендуемая структура итогового отчета по результатам аккредитационной экспертизы образовательной программы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fldChar w:fldCharType="begin"/>
            </w:r>
            <w:r>
              <w:rPr>
                <w:color w:val="000000" w:themeColor="text1"/>
              </w:rPr>
              <w:instrText xml:space="preserve"> PAGEREF _Toc63250774 \h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 xml:space="preserve">41</w:t>
            </w:r>
            <w:r>
              <w:rPr>
                <w:color w:val="000000" w:themeColor="text1"/>
              </w:rPr>
              <w:fldChar w:fldCharType="end"/>
            </w:r>
          </w:hyperlink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  <w:r>
            <w:rPr>
              <w:rFonts w:asciiTheme="minorHAnsi" w:hAnsiTheme="minorHAnsi" w:eastAsiaTheme="minorEastAsia" w:cstheme="minorBidi"/>
              <w:color w:val="000000" w:themeColor="text1"/>
              <w:sz w:val="22"/>
            </w:rPr>
          </w:r>
        </w:p>
        <w:p>
          <w:pPr>
            <w:rPr>
              <w:color w:val="000000" w:themeColor="text1"/>
            </w:rPr>
          </w:pPr>
          <w:r>
            <w:rPr>
              <w:b/>
              <w:bCs/>
              <w:color w:val="000000" w:themeColor="text1"/>
            </w:rPr>
            <w:fldChar w:fldCharType="end"/>
          </w:r>
          <w:r>
            <w:rPr>
              <w:color w:val="000000" w:themeColor="text1"/>
            </w:rPr>
          </w:r>
          <w:r>
            <w:rPr>
              <w:color w:val="000000" w:themeColor="text1"/>
            </w:rPr>
          </w:r>
        </w:p>
      </w:sdtContent>
    </w:sdt>
    <w:p>
      <w:pPr>
        <w:ind w:right="0" w:firstLine="0"/>
        <w:jc w:val="left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5"/>
        <w:numPr>
          <w:ilvl w:val="0"/>
          <w:numId w:val="1"/>
        </w:numPr>
        <w:rPr>
          <w:color w:val="000000" w:themeColor="text1"/>
        </w:rPr>
      </w:pPr>
      <w:r/>
      <w:bookmarkStart w:id="0" w:name="_Toc63250762"/>
      <w:r>
        <w:rPr>
          <w:color w:val="000000" w:themeColor="text1"/>
        </w:rPr>
        <w:t xml:space="preserve">Общие положения</w:t>
      </w:r>
      <w:bookmarkEnd w:id="0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0" w:right="0" w:firstLine="75"/>
        <w:jc w:val="left"/>
        <w:spacing w:after="0" w:line="259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«Положение о профессионально-общественной аккредитации образовательных программ в области искусственного интеллекта» </w:t>
      </w:r>
      <w:r>
        <w:rPr>
          <w:color w:val="000000" w:themeColor="text1"/>
        </w:rPr>
        <w:t xml:space="preserve">(далее – Положение), утверждённое директором Ассоциации «Альянс в сфере искусственного интеллекта», устанавливает правила организации, порядок проведения, установления критериев, оформления результатов профессионально-общественной аккредитации профессионал</w:t>
      </w:r>
      <w:r>
        <w:rPr>
          <w:color w:val="000000" w:themeColor="text1"/>
        </w:rPr>
        <w:t xml:space="preserve">ьных образовательных программ, основных программ профессионального обучения, дополнительных профессиональных программ (далее – профессионально-общественная аккредитация, ПОА) Ассоциацией «Альянс в сфере искусственного интеллекта» (далее – Альянс ИИ, АИИ).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Положени</w:t>
      </w:r>
      <w:r>
        <w:rPr>
          <w:color w:val="000000" w:themeColor="text1"/>
        </w:rPr>
        <w:t xml:space="preserve">е разработано в соответствии со </w:t>
      </w:r>
      <w:r>
        <w:rPr>
          <w:color w:val="000000" w:themeColor="text1"/>
        </w:rPr>
        <w:t xml:space="preserve">с</w:t>
      </w:r>
      <w:r>
        <w:rPr>
          <w:color w:val="000000" w:themeColor="text1"/>
        </w:rPr>
        <w:t xml:space="preserve">татьей 96 </w:t>
      </w:r>
      <w:r>
        <w:rPr>
          <w:color w:val="000000" w:themeColor="text1"/>
        </w:rPr>
        <w:t xml:space="preserve">«Общественная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программ» </w:t>
      </w:r>
      <w:r>
        <w:rPr>
          <w:color w:val="000000" w:themeColor="text1"/>
        </w:rPr>
        <w:t xml:space="preserve">Федерального закона</w:t>
      </w:r>
      <w:r>
        <w:rPr>
          <w:color w:val="000000" w:themeColor="text1"/>
        </w:rPr>
        <w:t xml:space="preserve"> </w:t>
      </w:r>
      <w:commentRangeStart w:id="0"/>
      <w:commentRangeStart w:id="1"/>
      <w:r>
        <w:rPr>
          <w:color w:val="000000" w:themeColor="text1"/>
          <w:highlight w:val="yellow"/>
        </w:rPr>
        <w:t xml:space="preserve">от 29 декабря 2012 г. № 273-ФЗ</w:t>
      </w:r>
      <w:commentRangeEnd w:id="0"/>
      <w:commentRangeEnd w:id="1"/>
      <w:r>
        <w:commentReference w:id="0"/>
        <w:commentReference w:id="1"/>
      </w:r>
      <w:r>
        <w:rPr>
          <w:color w:val="000000" w:themeColor="text1"/>
        </w:rPr>
        <w:t xml:space="preserve"> «Об образовании в Российской Ф</w:t>
      </w:r>
      <w:r>
        <w:rPr>
          <w:color w:val="000000" w:themeColor="text1"/>
        </w:rPr>
        <w:t xml:space="preserve">едерации» 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бщими требованиями к проведению профессионально-общественной аккредитации </w:t>
      </w:r>
      <w:r>
        <w:rPr>
          <w:color w:val="000000" w:themeColor="text1"/>
        </w:rPr>
        <w:t xml:space="preserve">профессиональных образовательных программ, основных программ профессионального обучения, дополнительных профессиональных программ </w:t>
      </w:r>
      <w:commentRangeStart w:id="2"/>
      <w:commentRangeStart w:id="3"/>
      <w:r>
        <w:rPr>
          <w:color w:val="000000" w:themeColor="text1"/>
        </w:rPr>
        <w:t xml:space="preserve">(утверждены Председателем Национального совета при Президенте Российской Федерации по профессиональным квалификациям 03 июля 2</w:t>
      </w:r>
      <w:r>
        <w:rPr>
          <w:color w:val="000000" w:themeColor="text1"/>
        </w:rPr>
        <w:t xml:space="preserve">017 г.)</w:t>
      </w:r>
      <w:commentRangeEnd w:id="2"/>
      <w:commentRangeEnd w:id="3"/>
      <w:r>
        <w:commentReference w:id="2"/>
        <w:commentReference w:id="3"/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  <w:t xml:space="preserve"> </w:t>
      </w:r>
      <w:bookmarkStart w:id="1" w:name="_Hlk57988679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профессионально-общественной аккредитации</w:t>
      </w:r>
      <w:r>
        <w:rPr>
          <w:color w:val="000000" w:themeColor="text1"/>
        </w:rPr>
        <w:t xml:space="preserve"> </w:t>
      </w:r>
      <w:bookmarkEnd w:id="1"/>
      <w:r>
        <w:rPr>
          <w:color w:val="000000" w:themeColor="text1"/>
        </w:rPr>
        <w:t xml:space="preserve">регламентирует порядок проведения профессионально-общественной аккредитации и</w:t>
      </w:r>
      <w:r>
        <w:rPr>
          <w:color w:val="000000" w:themeColor="text1"/>
        </w:rPr>
        <w:t xml:space="preserve"> содержит: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правила обращения организаций, осуществляющих образовательную деятельность, в </w:t>
      </w:r>
      <w:r>
        <w:rPr>
          <w:color w:val="000000" w:themeColor="text1"/>
        </w:rPr>
        <w:t xml:space="preserve">АИИ</w:t>
      </w:r>
      <w:r>
        <w:rPr>
          <w:color w:val="000000" w:themeColor="text1"/>
        </w:rPr>
        <w:t xml:space="preserve"> по вопросу проведения профессионально-общественной аккредитации;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критерии оценки образовательн</w:t>
      </w:r>
      <w:r>
        <w:rPr>
          <w:color w:val="000000" w:themeColor="text1"/>
        </w:rPr>
        <w:t xml:space="preserve">ых программ при проведении профессионально-общественной аккредитации, а также пороговые значения критериев для принятия решения о профессионально-общественной аккредитации образовательных программ или об отказе в профессионально-общественной аккредитации;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требования к экспертам, привлекаемым для проведения ПОА образовательных программ по виду (видам) профессиональной деятельности в области </w:t>
      </w:r>
      <w:r>
        <w:rPr>
          <w:color w:val="000000" w:themeColor="text1"/>
        </w:rPr>
        <w:t xml:space="preserve">искусственного интеллекта</w:t>
      </w:r>
      <w:r>
        <w:rPr>
          <w:color w:val="000000" w:themeColor="text1"/>
        </w:rPr>
        <w:t xml:space="preserve">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правила апелляции;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</w:rPr>
      </w:pPr>
      <w:r>
        <w:rPr>
          <w:color w:val="000000" w:themeColor="text1"/>
        </w:rPr>
        <w:t xml:space="preserve">основания для прекращения действия профессионально-общественной аккредитации образовательных программ в области </w:t>
      </w:r>
      <w:r>
        <w:rPr>
          <w:color w:val="000000" w:themeColor="text1"/>
        </w:rPr>
        <w:t xml:space="preserve">искусственного интеллекта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spacing w:after="114" w:line="360" w:lineRule="auto"/>
        <w:rPr>
          <w:color w:val="000000" w:themeColor="text1"/>
          <w:szCs w:val="28"/>
        </w:rPr>
      </w:pPr>
      <w:r>
        <w:rPr>
          <w:color w:val="000000" w:themeColor="text1"/>
        </w:rPr>
        <w:t xml:space="preserve">Расходы, связанные с организацией и проведением ПОА, несет образовательная организация.</w:t>
      </w:r>
      <w:r>
        <w:rPr>
          <w:color w:val="000000" w:themeColor="text1"/>
        </w:rPr>
        <w:t xml:space="preserve"> По решению АИИ затраты, связанные с организацией и проведением ПОА, могут быть компенсированы из иных </w:t>
      </w:r>
      <w:r>
        <w:rPr>
          <w:color w:val="000000" w:themeColor="text1"/>
          <w:szCs w:val="28"/>
        </w:rPr>
        <w:t xml:space="preserve">источников.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0" w:firstLine="0"/>
        <w:jc w:val="left"/>
        <w:spacing w:after="160" w:line="259" w:lineRule="auto"/>
        <w:rPr>
          <w:rFonts w:eastAsiaTheme="minorEastAsia"/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 w:clear="all"/>
      </w:r>
      <w:r>
        <w:rPr>
          <w:rFonts w:eastAsiaTheme="minorEastAsia"/>
          <w:color w:val="000000" w:themeColor="text1"/>
          <w:szCs w:val="28"/>
        </w:rPr>
      </w:r>
      <w:r>
        <w:rPr>
          <w:rFonts w:eastAsiaTheme="minorEastAsia"/>
          <w:color w:val="000000" w:themeColor="text1"/>
          <w:szCs w:val="28"/>
        </w:rPr>
      </w:r>
    </w:p>
    <w:p>
      <w:pPr>
        <w:pStyle w:val="975"/>
        <w:numPr>
          <w:ilvl w:val="0"/>
          <w:numId w:val="1"/>
        </w:numPr>
        <w:rPr>
          <w:bCs/>
          <w:color w:val="000000" w:themeColor="text1"/>
          <w:szCs w:val="28"/>
        </w:rPr>
      </w:pPr>
      <w:r/>
      <w:bookmarkStart w:id="2" w:name="_Toc53094977"/>
      <w:r/>
      <w:bookmarkStart w:id="3" w:name="_Toc63250763"/>
      <w:r>
        <w:rPr>
          <w:color w:val="000000" w:themeColor="text1"/>
          <w:szCs w:val="28"/>
        </w:rPr>
        <w:t xml:space="preserve">Цель и задачи профессионально-общественной аккредитации</w:t>
      </w:r>
      <w:bookmarkEnd w:id="2"/>
      <w:r/>
      <w:bookmarkEnd w:id="3"/>
      <w:r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Главная цель проводимой </w:t>
      </w:r>
      <w:r>
        <w:rPr>
          <w:color w:val="000000" w:themeColor="text1"/>
          <w:szCs w:val="28"/>
        </w:rPr>
        <w:t xml:space="preserve">Альянсом ИИ</w:t>
      </w:r>
      <w:r>
        <w:rPr>
          <w:color w:val="000000" w:themeColor="text1"/>
          <w:szCs w:val="28"/>
        </w:rPr>
        <w:t xml:space="preserve"> профессионально-общественной аккредитации — повышение качества подготовки кадров в области искусственного интеллекта, повышение их кон</w:t>
      </w:r>
      <w:r>
        <w:rPr>
          <w:color w:val="000000" w:themeColor="text1"/>
          <w:szCs w:val="28"/>
        </w:rPr>
        <w:t xml:space="preserve">курентоспособности на российском и международном рынках труда, усиление связи образовательных программ с реальной экономикой и бизнес-сообществом, обеспечение соответствия квалификационных характеристик выпускников национальным и международным стандартам.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Основными задачами профессионально-общественной аккредитации являются: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независимая экспертная оценка качества образовательной и научной деятельности в области искусственного интеллекта;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независимая экспертная оценка качества реализации основных образовательных программ высшего образования всех уровней (бакалавриат, специалитет, магистратура, </w:t>
      </w:r>
      <w:commentRangeStart w:id="4"/>
      <w:commentRangeStart w:id="5"/>
      <w:r>
        <w:rPr>
          <w:color w:val="000000" w:themeColor="text1"/>
          <w:szCs w:val="28"/>
          <w:highlight w:val="yellow"/>
        </w:rPr>
        <w:t xml:space="preserve">аспирантура</w:t>
      </w:r>
      <w:commentRangeEnd w:id="4"/>
      <w:commentRangeEnd w:id="5"/>
      <w:r>
        <w:commentReference w:id="4"/>
        <w:commentReference w:id="5"/>
      </w:r>
      <w:r>
        <w:rPr>
          <w:color w:val="000000" w:themeColor="text1"/>
          <w:szCs w:val="28"/>
        </w:rPr>
        <w:t xml:space="preserve">) </w:t>
      </w:r>
      <w:r>
        <w:rPr>
          <w:color w:val="000000" w:themeColor="text1"/>
          <w:szCs w:val="28"/>
        </w:rPr>
        <w:t xml:space="preserve">соответствующих направлений подготовки </w:t>
      </w:r>
      <w:r>
        <w:rPr>
          <w:color w:val="000000" w:themeColor="text1"/>
          <w:szCs w:val="28"/>
        </w:rPr>
        <w:t xml:space="preserve">и дополнительных профессиональных программ (программ повышения квалификации и программ профессиональной переподготовки);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информирование граждан и работодателей о качестве подготовки специалистов по аккредитуемым образовательным программам;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повышение ответственности субъекто</w:t>
      </w:r>
      <w:r>
        <w:rPr>
          <w:color w:val="000000" w:themeColor="text1"/>
          <w:szCs w:val="28"/>
        </w:rPr>
        <w:t xml:space="preserve">в образовательной деятельности;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создание информационной базы для определения рейтинга образовательных программ направлений подготовки в области искусственного интеллекта;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обобщение и распространение передового опыта реализации образовательных программ направлений подготовки, интеграции научной и образовательной деятельности, обеспечения их связи с практикой; </w:t>
      </w:r>
      <w:r>
        <w:rPr>
          <w:color w:val="000000" w:themeColor="text1"/>
          <w:szCs w:val="28"/>
        </w:rPr>
        <w:t xml:space="preserve">разработка и коммерциализация инноваций, совершенствования управления интеллектуальной собственностью;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привлечение к образовательному процессу и оценке качества образовательный программ работодателей и представителей профессионального сообщества;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left="360" w:right="53" w:firstLine="63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обобщение и распространение передового опыта управления образовательными организациями, повышение их конкурентоспособности на рынке образовательных услуг.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0" w:firstLine="0"/>
        <w:jc w:val="left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5"/>
        <w:numPr>
          <w:ilvl w:val="0"/>
          <w:numId w:val="1"/>
        </w:numPr>
        <w:rPr>
          <w:color w:val="000000" w:themeColor="text1"/>
        </w:rPr>
      </w:pPr>
      <w:r/>
      <w:bookmarkStart w:id="4" w:name="_Toc63250764"/>
      <w:r>
        <w:rPr>
          <w:color w:val="000000" w:themeColor="text1"/>
        </w:rPr>
        <w:t xml:space="preserve">Термины и определения</w:t>
      </w:r>
      <w:bookmarkEnd w:id="4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color w:val="000000" w:themeColor="text1"/>
        </w:rPr>
        <w:t xml:space="preserve">Для целей настоящего </w:t>
      </w:r>
      <w:r>
        <w:rPr>
          <w:color w:val="000000" w:themeColor="text1"/>
        </w:rPr>
        <w:t xml:space="preserve">документа</w:t>
      </w:r>
      <w:r>
        <w:rPr>
          <w:color w:val="000000" w:themeColor="text1"/>
        </w:rPr>
        <w:t xml:space="preserve"> применяются следующие основные термины и определения: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0" w:firstLine="539"/>
        <w:spacing w:after="0" w:line="367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Профессионально-общественная аккредитация (ПОА)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основных </w:t>
      </w:r>
      <w:r>
        <w:rPr>
          <w:b/>
          <w:bCs/>
          <w:color w:val="000000" w:themeColor="text1"/>
        </w:rPr>
        <w:t xml:space="preserve">и дополни</w:t>
      </w:r>
      <w:r>
        <w:rPr>
          <w:b/>
          <w:bCs/>
          <w:color w:val="000000" w:themeColor="text1"/>
        </w:rPr>
        <w:t xml:space="preserve">тельных </w:t>
      </w:r>
      <w:r>
        <w:rPr>
          <w:b/>
          <w:bCs/>
          <w:color w:val="000000" w:themeColor="text1"/>
        </w:rPr>
        <w:t xml:space="preserve">профессион</w:t>
      </w:r>
      <w:r>
        <w:rPr>
          <w:b/>
          <w:bCs/>
          <w:color w:val="000000" w:themeColor="text1"/>
        </w:rPr>
        <w:t xml:space="preserve">альных образовательных программ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профессиональных стандартов, </w:t>
      </w:r>
      <w:r>
        <w:rPr>
          <w:color w:val="000000" w:themeColor="text1"/>
        </w:rPr>
        <w:t xml:space="preserve">требованиям рынка труда к специалистам, рабочим и служащим соответствующего профиля.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Аккредитационная экспертиза</w:t>
      </w:r>
      <w:r>
        <w:rPr>
          <w:color w:val="000000" w:themeColor="text1"/>
        </w:rPr>
        <w:t xml:space="preserve"> – процедура оценки образовательной программы, о</w:t>
      </w:r>
      <w:r>
        <w:rPr>
          <w:color w:val="000000" w:themeColor="text1"/>
        </w:rPr>
        <w:t xml:space="preserve">снованная на анализе информации о соответствии аккредитуемой образовательной программы установленным критериям профессионально-общественной аккредитации. Аккредитационная экспертиза проводится экспертной комиссией, создаваемой аккредитующей организацией.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b/>
          <w:color w:val="000000" w:themeColor="text1"/>
        </w:rPr>
        <w:t xml:space="preserve">Аккредитующая организация </w:t>
      </w:r>
      <w:r>
        <w:rPr>
          <w:color w:val="000000" w:themeColor="text1"/>
        </w:rPr>
        <w:t xml:space="preserve">– </w:t>
      </w:r>
      <w:bookmarkStart w:id="5" w:name="_Hlk51925364"/>
      <w:r>
        <w:rPr>
          <w:color w:val="000000" w:themeColor="text1"/>
        </w:rPr>
        <w:t xml:space="preserve">Ассоциация «Альянс в </w:t>
      </w:r>
      <w:r>
        <w:rPr>
          <w:color w:val="000000" w:themeColor="text1"/>
        </w:rPr>
        <w:t xml:space="preserve">сфере</w:t>
      </w:r>
      <w:bookmarkEnd w:id="5"/>
      <w:r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искусственного</w:t>
      </w:r>
      <w:r>
        <w:rPr>
          <w:color w:val="000000" w:themeColor="text1"/>
        </w:rPr>
        <w:t xml:space="preserve"> интеллекта» (Альянс ИИ, АИИ)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2" w:right="2" w:firstLine="540"/>
        <w:spacing w:after="16" w:line="360" w:lineRule="auto"/>
        <w:rPr>
          <w:color w:val="000000" w:themeColor="text1"/>
        </w:rPr>
      </w:pPr>
      <w:r>
        <w:rPr>
          <w:b/>
          <w:color w:val="000000" w:themeColor="text1"/>
        </w:rPr>
        <w:t xml:space="preserve">Критерий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 xml:space="preserve">признак, на основании которого производится оценка соответствия, образовательной программы требованиям профессиональных стандартов, требованиям рынка труда к специалистам, рабочим и служащим соответствующего профиля.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b/>
          <w:color w:val="000000" w:themeColor="text1"/>
        </w:rPr>
        <w:t xml:space="preserve">Образовательная организация </w:t>
      </w:r>
      <w:r>
        <w:rPr>
          <w:color w:val="000000" w:themeColor="text1"/>
        </w:rPr>
        <w:t xml:space="preserve">– организация или учреждение, </w:t>
      </w:r>
      <w:r>
        <w:rPr>
          <w:color w:val="000000" w:themeColor="text1"/>
        </w:rPr>
        <w:t xml:space="preserve">осуществляющее на основании лицензии в качестве основного вида деятельности образовательную деятельность по основным профессиональным образовательным программам, основным программам профессионального обучения и программам профессиональной переподготовки.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b/>
          <w:color w:val="000000" w:themeColor="text1"/>
        </w:rPr>
        <w:t xml:space="preserve">Образовательная программа</w:t>
      </w:r>
      <w:r>
        <w:rPr>
          <w:color w:val="000000" w:themeColor="text1"/>
        </w:rPr>
        <w:t xml:space="preserve"> – комплекс основных характеристик образования (объем, содержание, планируемые результаты), организационно</w:t>
      </w:r>
      <w:r>
        <w:rPr>
          <w:color w:val="000000" w:themeColor="text1"/>
        </w:rPr>
        <w:t xml:space="preserve">-</w:t>
      </w:r>
      <w:r>
        <w:rPr>
          <w:color w:val="000000" w:themeColor="text1"/>
        </w:rPr>
        <w:t xml:space="preserve">педагогических условий и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b/>
          <w:color w:val="000000" w:themeColor="text1"/>
        </w:rPr>
        <w:t xml:space="preserve">Эксперт</w:t>
      </w:r>
      <w:r>
        <w:rPr>
          <w:color w:val="000000" w:themeColor="text1"/>
        </w:rPr>
        <w:t xml:space="preserve"> – физическое лицо,</w:t>
      </w:r>
      <w:r>
        <w:rPr>
          <w:color w:val="000000" w:themeColor="text1"/>
        </w:rPr>
        <w:t xml:space="preserve"> обладающее квалификацией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специальными знаниями </w:t>
      </w:r>
      <w:r>
        <w:rPr>
          <w:color w:val="000000" w:themeColor="text1"/>
        </w:rPr>
        <w:t xml:space="preserve">и\или опытом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привлекаемое аккредитующей организацией к проведению аккредитационной экспертизы. Отбор и подготовка экспертов для проведения аккредитационной экспертизы обеспечиваются аккредитующей организацией в соответствии с настоящим По</w:t>
      </w:r>
      <w:r>
        <w:rPr>
          <w:color w:val="000000" w:themeColor="text1"/>
        </w:rPr>
        <w:t xml:space="preserve">ложением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-15" w:right="139"/>
        <w:rPr>
          <w:color w:val="000000" w:themeColor="text1"/>
        </w:rPr>
      </w:pPr>
      <w:r>
        <w:rPr>
          <w:b/>
          <w:color w:val="000000" w:themeColor="text1"/>
        </w:rPr>
        <w:t xml:space="preserve">Экспертная комиссия</w:t>
      </w:r>
      <w:r>
        <w:rPr>
          <w:color w:val="000000" w:themeColor="text1"/>
        </w:rPr>
        <w:t xml:space="preserve"> – комиссия, состоящая из экспертов по проведению аккредитационной экспертизы, формируемая аккредитующей организацией в соответствии с настоящим По</w:t>
      </w:r>
      <w:r>
        <w:rPr>
          <w:color w:val="000000" w:themeColor="text1"/>
        </w:rPr>
        <w:t xml:space="preserve">ложением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0" w:firstLine="0"/>
        <w:jc w:val="left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5"/>
        <w:numPr>
          <w:ilvl w:val="0"/>
          <w:numId w:val="1"/>
        </w:numPr>
        <w:rPr>
          <w:color w:val="000000" w:themeColor="text1"/>
        </w:rPr>
      </w:pPr>
      <w:r/>
      <w:bookmarkStart w:id="6" w:name="_Toc63250765"/>
      <w:r>
        <w:rPr>
          <w:color w:val="000000" w:themeColor="text1"/>
        </w:rPr>
        <w:t xml:space="preserve">Требования к экспертам</w:t>
      </w:r>
      <w:bookmarkEnd w:id="6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Экспертами, привлекаемыми к проведению ПОА образовательных программ в области искусственного интеллекта, могут являться: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работники крупных компаний, объединений работодателей, некоммерческих и общественных организаций в области искусственного интеллекта (представители профессионального сообщества (работодателей));</w:t>
      </w:r>
      <w:r>
        <w:rPr>
          <w:color w:val="000000" w:themeColor="text1"/>
          <w:szCs w:val="28"/>
        </w:rPr>
        <w:t xml:space="preserve"> такой</w:t>
      </w:r>
      <w:r>
        <w:rPr>
          <w:color w:val="000000" w:themeColor="text1"/>
          <w:szCs w:val="28"/>
        </w:rPr>
        <w:t xml:space="preserve"> эксперт должен иметь высшее профессиональное образование, стаж работы в области искусственного интеллекта не менее 5 лет по профилю, соответствующему предмету экспертизы, обладать компетентностью, необходимой для оце</w:t>
      </w:r>
      <w:r>
        <w:rPr>
          <w:color w:val="000000" w:themeColor="text1"/>
          <w:szCs w:val="28"/>
        </w:rPr>
        <w:t xml:space="preserve">нки образовательной программы;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работники организаций высшего и среднего профессиональн</w:t>
      </w:r>
      <w:r>
        <w:rPr>
          <w:color w:val="000000" w:themeColor="text1"/>
          <w:szCs w:val="28"/>
        </w:rPr>
        <w:t xml:space="preserve">ого образования, дополнительного профессионального образования и профессионального обучения (представители образовательного сообщества); представитель образовательного сообщества должен иметь высшее образование (специалитет, магистратура), или ученую степе</w:t>
      </w:r>
      <w:r>
        <w:rPr>
          <w:color w:val="000000" w:themeColor="text1"/>
          <w:szCs w:val="28"/>
        </w:rPr>
        <w:t xml:space="preserve">нь, соответствующую направленности образовательной программы, в отношении которой проводится аккредитационная экспертиза иметь опыт профессиональной деятельности не менее 5 лет, соответствующий уровню образования и направленности аккредитуемой программы;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</w:t>
      </w:r>
      <w:r>
        <w:rPr>
          <w:color w:val="000000" w:themeColor="text1"/>
          <w:szCs w:val="28"/>
        </w:rPr>
        <w:t xml:space="preserve">едставители профильных министерств (ведомств), региональных и (или) местных органов исполнительной власти, деятельность которых связана с организацией производства, образования и (или) научных исследований в области искусственного интеллекта (представители</w:t>
      </w:r>
      <w:r>
        <w:rPr>
          <w:color w:val="000000" w:themeColor="text1"/>
          <w:szCs w:val="28"/>
        </w:rPr>
        <w:t xml:space="preserve"> органов исполнительной власти);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</w:t>
      </w:r>
      <w:r>
        <w:rPr>
          <w:color w:val="000000" w:themeColor="text1"/>
          <w:szCs w:val="28"/>
        </w:rPr>
        <w:t xml:space="preserve">редставитель органов исполнительной власти должен иметь высшее профе</w:t>
      </w:r>
      <w:r>
        <w:rPr>
          <w:color w:val="000000" w:themeColor="text1"/>
          <w:szCs w:val="28"/>
        </w:rPr>
        <w:t xml:space="preserve">ссиональное образование, стаж работы в области искусственного интеллекта не менее 5 лет по профилю, соответствующему предмету экспертизы, участвовать в деятельности, связанной с организацией производства, образования и (или) научных исследований в области </w:t>
      </w:r>
      <w:r>
        <w:rPr>
          <w:color w:val="000000" w:themeColor="text1"/>
          <w:szCs w:val="28"/>
        </w:rPr>
        <w:t xml:space="preserve">искусственного интеллекта, обладать компетентностью, необходимой для оценки образовательной программы.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При формировании экспертной комиссии предпочтение отдается кандидатам в э</w:t>
      </w:r>
      <w:r>
        <w:rPr>
          <w:color w:val="000000" w:themeColor="text1"/>
          <w:szCs w:val="28"/>
        </w:rPr>
        <w:t xml:space="preserve">ксперты, имеющим высшее образование или ученую степень, соответствующую направленности образовательной программы, в отношении которой проводится аккредитационная экспертиза. В случае отсутствия высшего образования или ученой степени, соответствующих направ</w:t>
      </w:r>
      <w:r>
        <w:rPr>
          <w:color w:val="000000" w:themeColor="text1"/>
          <w:szCs w:val="28"/>
        </w:rPr>
        <w:t xml:space="preserve">ленности образовательной программы, в отношении которой проводится аккредитационная экспертиза, эксперту необходимо подтвердить наличие дополнительного профессионального образования, соответствующего направленности аккредитуемой образовательной программы.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Эксперт должен пройти обучение по программе повышения квалификации экспертов по профессионально-общественной аккредитации. Программа повышения квалификации экспертов по професси</w:t>
      </w:r>
      <w:r>
        <w:rPr>
          <w:color w:val="000000" w:themeColor="text1"/>
          <w:szCs w:val="28"/>
        </w:rPr>
        <w:t xml:space="preserve">онально-общественной аккредитации разрабатывается организацией, осуществляющей образовательную деятельность, на основании типовой программы АИИ для повышения квалификации экспертов системы профессионально-общественной аккредитации и согласовывается с АИИ.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56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Эксперты системы ПОА профессиональных образовательных программ должны обладать следующими специальными компетенциями (соответствовать неформальным требованиям):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осуществлять деятельность в соответствии с </w:t>
      </w:r>
      <w:r>
        <w:rPr>
          <w:color w:val="000000" w:themeColor="text1"/>
        </w:rPr>
        <w:t xml:space="preserve">«Положением о профессионально-общественной аккредитации образовательных программ в области искусственного интеллекта»</w:t>
      </w:r>
      <w:r>
        <w:rPr>
          <w:color w:val="000000" w:themeColor="text1"/>
          <w:szCs w:val="28"/>
        </w:rPr>
        <w:t xml:space="preserve">;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проводить экспертизу заявленных образовательных программ в установленный срок и в соответствии с установленными критериями аккредитации;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пособность анализировать значительные объемы информации, обобщать и критически осмысливать информацию;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пособность организовывать и осуществлять коммуникации с различными участниками процесса аккредитационной экспертизы образовательных программ;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подготавливать и проводить интервью с руководством организации, осуществляющей образовательную деятельность, преподавателями, обучающимися и выпускниками образовательных программ, работодателями;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анализировать информацию и документы, полученные в ходе проведения аккредитационной экспертизы образовательных программ;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формировать и высказывать независимое мнение;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составлять и оформлять отчет по результатам проведенной аккредитационной экспертизы образовательных программ, в том числе, с использованием средств компьютерной техники и информационных технологий;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</w:t>
      </w:r>
      <w:r>
        <w:rPr>
          <w:color w:val="000000" w:themeColor="text1"/>
          <w:szCs w:val="28"/>
        </w:rPr>
        <w:t xml:space="preserve">мение обеспечивать объективность и достоверность экспертного заключения при оценке образовательных программ, нести ответственность за содержание и выводы заключения;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пособность сформулировать по результатам </w:t>
      </w:r>
      <w:r>
        <w:rPr>
          <w:color w:val="000000" w:themeColor="text1"/>
          <w:szCs w:val="28"/>
        </w:rPr>
        <w:t xml:space="preserve">профессионально-общественной аккредитации</w:t>
      </w:r>
      <w:r>
        <w:rPr>
          <w:color w:val="000000" w:themeColor="text1"/>
          <w:szCs w:val="28"/>
        </w:rPr>
        <w:t xml:space="preserve"> образовательных программ рекомендации образовательной организации, направленные на повышение качества образовательной программы и образовательной деятельности организации в целом.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0" w:firstLine="0"/>
        <w:jc w:val="left"/>
        <w:spacing w:after="160"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 w:clear="all"/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75"/>
        <w:numPr>
          <w:ilvl w:val="0"/>
          <w:numId w:val="1"/>
        </w:numPr>
        <w:rPr>
          <w:color w:val="000000" w:themeColor="text1"/>
        </w:rPr>
      </w:pPr>
      <w:r/>
      <w:bookmarkStart w:id="7" w:name="_Toc63250766"/>
      <w:r>
        <w:rPr>
          <w:color w:val="000000" w:themeColor="text1"/>
        </w:rPr>
        <w:t xml:space="preserve">Права и обязанности экспертов</w:t>
      </w:r>
      <w:bookmarkEnd w:id="7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Эксперты системы ПОА профессиональных образовательных программ имеют право: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</w:t>
      </w:r>
      <w:r>
        <w:rPr>
          <w:color w:val="000000" w:themeColor="text1"/>
          <w:szCs w:val="28"/>
        </w:rPr>
        <w:t xml:space="preserve">олучать полную, достоверную и своевременную информацию о порядке и методике проведения ПОА образовательных программ;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амостоятельно, в рамках утвержденн</w:t>
      </w:r>
      <w:r>
        <w:rPr>
          <w:color w:val="000000" w:themeColor="text1"/>
          <w:szCs w:val="28"/>
        </w:rPr>
        <w:t xml:space="preserve">ой методики проведения ПОА, выбирать средства, позволяющие эффективно проводить аккредитационную экспертизу образовательных программ, наиболее полно отвечающие индивидуальным особенностям эксперта, соблюдая при этом требования к качеству оказываемых услуг.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Эксперты системы ПОА профессиональных образовательных программ обязаны: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существлять деятельность по проведению ПОА образовательных программ независимо и непредвзято;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облюдать конфиденциальность информации, полученной от организации, осуществляющей образовательную деятельность, в ходе проведения ПОА образовательных программ;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существлять экспертную деятельность и принимать решения о соответствии оцениваемых образовательных программ в соответствии принятой методологией проведения ПОА;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</w:t>
      </w:r>
      <w:r>
        <w:rPr>
          <w:color w:val="000000" w:themeColor="text1"/>
          <w:szCs w:val="28"/>
        </w:rPr>
        <w:t xml:space="preserve">уководствоваться в работе </w:t>
      </w:r>
      <w:r>
        <w:rPr>
          <w:color w:val="000000" w:themeColor="text1"/>
          <w:szCs w:val="28"/>
        </w:rPr>
        <w:t xml:space="preserve">всеми действующими нормативными документами Альянса ИИ,</w:t>
      </w:r>
      <w:r>
        <w:rPr>
          <w:color w:val="000000" w:themeColor="text1"/>
          <w:szCs w:val="28"/>
        </w:rPr>
        <w:t xml:space="preserve"> регламентирующими деятельность эксперта по ПОА образовательных программ;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</w:t>
      </w:r>
      <w:r>
        <w:rPr>
          <w:color w:val="000000" w:themeColor="text1"/>
          <w:szCs w:val="28"/>
        </w:rPr>
        <w:t xml:space="preserve">облюдать установленные сроки выполнения работ по ПОА образовательных программ, в соответствии с заключенным договором между экспертом и </w:t>
      </w:r>
      <w:r>
        <w:rPr>
          <w:color w:val="000000" w:themeColor="text1"/>
          <w:szCs w:val="28"/>
        </w:rPr>
        <w:t xml:space="preserve">Альянсом ИИ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75"/>
        <w:numPr>
          <w:ilvl w:val="0"/>
          <w:numId w:val="1"/>
        </w:numPr>
        <w:rPr>
          <w:color w:val="000000" w:themeColor="text1"/>
        </w:rPr>
      </w:pPr>
      <w:r/>
      <w:bookmarkStart w:id="8" w:name="_Toc63250767"/>
      <w:r>
        <w:rPr>
          <w:color w:val="000000" w:themeColor="text1"/>
        </w:rPr>
        <w:t xml:space="preserve">Организация </w:t>
      </w:r>
      <w:r>
        <w:rPr>
          <w:color w:val="000000" w:themeColor="text1"/>
        </w:rPr>
        <w:t xml:space="preserve">работы экспертов</w:t>
      </w:r>
      <w:bookmarkEnd w:id="8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Экспертная комиссия для проведения аккредитационной экспертизы в рамках ПОА создаётся приказом руковод</w:t>
      </w:r>
      <w:r>
        <w:rPr>
          <w:color w:val="000000" w:themeColor="text1"/>
          <w:szCs w:val="28"/>
        </w:rPr>
        <w:t xml:space="preserve">ителя аккредитующей организации. В состав экспертной комиссии входят: председатель экспертной комиссии, секретарь и другие члены комиссии.  Количественный состав экспертной комиссии не может быть меньше 5 человек, включая председателя экспертной комиссии.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Председатель экспертной комиссии руководит работой комиссии, утверждает дату проведения экспертизы, определяет место и время заседания экспертной комиссии, председательствует на заседании комиссии; распределяет обязанности между членами комиссии.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Секретарь экспертной комиссии осуществляет организационное обеспечение проведения аккредитационной экспертизы, оформляет протоколы экспертной комиссии, готовит проект итогового отчета по результатам аккредитационной экспертизы.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отсутствие секретаря комиссии его обязанности могут быть возложены председателем экспертной комиссии на одного из членов экспертной комиссии по согласованию.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Заседание экспертной комиссии считается правомочным, если на нем присутствует более половины состава экспертной комиссии.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Работа экспертов и экспертной комиссии может быть организована в дистанционной форме с использованием информационно-телекоммуникационных сетей и электронного документооборота.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Решения экспертной комиссии принимаются простым большинством голосов экспертов, входящих в состав экспертной комиссии.  </w:t>
      </w:r>
      <w:r>
        <w:rPr>
          <w:color w:val="000000" w:themeColor="text1"/>
          <w:szCs w:val="28"/>
        </w:rPr>
        <w:t xml:space="preserve">Каждое лицо, входящее в состав экспертной комиссии и принимающее участие в заседании, имеет равное право голоса при принятии решения. </w:t>
      </w:r>
      <w:r>
        <w:rPr>
          <w:color w:val="000000" w:themeColor="text1"/>
          <w:szCs w:val="28"/>
        </w:rPr>
        <w:t xml:space="preserve">Председатель (лицо, исполняющее обязанности председателя) экспертной комиссии обладает решающим голосом при принятии решения в случае равенства голосов.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Решения, принятые экспертной комиссией, оформляются протоколом.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0" w:firstLine="0"/>
        <w:jc w:val="left"/>
        <w:spacing w:after="160" w:line="259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 w:clear="all"/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76"/>
        <w:numPr>
          <w:ilvl w:val="1"/>
          <w:numId w:val="37"/>
        </w:numPr>
        <w:rPr>
          <w:color w:val="000000" w:themeColor="text1"/>
        </w:rPr>
      </w:pPr>
      <w:r/>
      <w:bookmarkStart w:id="9" w:name="_Toc56592774"/>
      <w:r/>
      <w:bookmarkStart w:id="10" w:name="_Toc63250768"/>
      <w:r>
        <w:rPr>
          <w:rFonts w:ascii="Times New Roman" w:hAnsi="Times New Roman" w:cs="Times New Roman"/>
          <w:color w:val="000000" w:themeColor="text1"/>
        </w:rPr>
        <w:t xml:space="preserve">Анализ отчета о самообследовании образовательной программы</w:t>
      </w:r>
      <w:bookmarkEnd w:id="9"/>
      <w:r/>
      <w:bookmarkEnd w:id="10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При проведении</w:t>
      </w:r>
      <w:r>
        <w:rPr>
          <w:color w:val="000000" w:themeColor="text1"/>
        </w:rPr>
        <w:t xml:space="preserve"> анализа отчета о самообследовании эксперт оценивает соответствие / не соответствие заявленных организацией, осуществляющей образовательную деятельность, показателей профессиональной образовательной программы пороговым значениям показателей, установленным </w:t>
      </w:r>
      <w:r>
        <w:rPr>
          <w:color w:val="000000" w:themeColor="text1"/>
        </w:rPr>
        <w:t xml:space="preserve">Положение</w:t>
      </w:r>
      <w:r>
        <w:rPr>
          <w:color w:val="000000" w:themeColor="text1"/>
        </w:rPr>
        <w:t xml:space="preserve">м</w:t>
      </w:r>
      <w:r>
        <w:rPr>
          <w:color w:val="000000" w:themeColor="text1"/>
        </w:rPr>
        <w:t xml:space="preserve"> о профессионально-общественной аккредитации </w:t>
      </w:r>
      <w:r>
        <w:rPr>
          <w:color w:val="000000" w:themeColor="text1"/>
        </w:rPr>
        <w:t xml:space="preserve">профессиональных образовательных программ в </w:t>
      </w:r>
      <w:r>
        <w:rPr>
          <w:color w:val="000000" w:themeColor="text1"/>
        </w:rPr>
        <w:t xml:space="preserve">области ИИ</w:t>
      </w:r>
      <w:r>
        <w:rPr>
          <w:color w:val="000000" w:themeColor="text1"/>
        </w:rPr>
        <w:t xml:space="preserve"> и настоящими инструктивно-методическими материалами. Перечень оцениваемых показателей образовательной программы в каждой группе критериев ПОА и их пороговые значения, установленные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, приведены в Разделе </w:t>
      </w:r>
      <w:r>
        <w:rPr>
          <w:color w:val="000000" w:themeColor="text1"/>
        </w:rPr>
        <w:t xml:space="preserve">7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При этом доказательной базой для эксперта выступает не только отчет о самообследовании, представленный организацией, осуществляющей образовательную деятельность, но и другие документы, подтверждающие изложенные ф</w:t>
      </w:r>
      <w:r>
        <w:rPr>
          <w:color w:val="000000" w:themeColor="text1"/>
        </w:rPr>
        <w:t xml:space="preserve">акты. Поэтому в процессе проведения анализа отчета о самообследовании эксперт может запросить у организации, осуществляющей образовательную деятельность, дополнительные подтверждающие и обосновывающие материалы по аккредитуемой образовательной программе.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  <w14:ligatures w14:val="none"/>
        </w:rPr>
      </w:pPr>
      <w:r/>
      <w:commentRangeStart w:id="6"/>
      <w:commentRangeStart w:id="7"/>
      <w:r>
        <w:rPr>
          <w:color w:val="000000" w:themeColor="text1"/>
        </w:rPr>
        <w:t xml:space="preserve">Дополнительным источником информации для работы эксперта может являться сайт организации, осуществляющий образовательную деятельность, содержащий информацию в соответствии с постановлением Правительства Российской Федерации от 20.10.2021 N 1802  «Об утверж</w:t>
      </w:r>
      <w:r>
        <w:rPr>
          <w:color w:val="000000" w:themeColor="text1"/>
        </w:rPr>
        <w:t xml:space="preserve">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а также о признании утратившими силу некоторых актов и отдельных положени</w:t>
      </w:r>
      <w:r>
        <w:rPr>
          <w:color w:val="000000" w:themeColor="text1"/>
        </w:rPr>
        <w:t xml:space="preserve">й некоторых актов Правительства Российской Федерации» и Приказом Рособрнадзора от 04.08.2023 N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</w:t>
      </w:r>
      <w:r>
        <w:rPr>
          <w:color w:val="000000" w:themeColor="text1"/>
        </w:rPr>
        <w:t xml:space="preserve">вления информации</w:t>
      </w:r>
      <w:r>
        <w:rPr>
          <w:color w:val="000000" w:themeColor="text1"/>
        </w:rPr>
      </w:r>
      <w:commentRangeEnd w:id="6"/>
      <w:commentRangeEnd w:id="7"/>
      <w:r>
        <w:commentReference w:id="6"/>
        <w:commentReference w:id="7"/>
      </w:r>
      <w:r>
        <w:rPr>
          <w:color w:val="000000" w:themeColor="text1"/>
        </w:rPr>
      </w:r>
      <w:commentRangeStart w:id="8"/>
      <w:commentRangeStart w:id="9"/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commentRangeEnd w:id="8"/>
      <w:commentRangeEnd w:id="9"/>
      <w:r>
        <w:commentReference w:id="8"/>
        <w:commentReference w:id="9"/>
      </w:r>
      <w:r>
        <w:rPr>
          <w:color w:val="000000" w:themeColor="text1"/>
        </w:rPr>
      </w:r>
      <w:r>
        <w:rPr>
          <w:color w:val="000000" w:themeColor="text1"/>
          <w14:ligatures w14:val="none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Результаты оценки каждого показателя ПОА, установленного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, заносятся экспертом в предварительный отчет по результатам </w:t>
      </w:r>
      <w:r>
        <w:rPr>
          <w:color w:val="000000" w:themeColor="text1"/>
        </w:rPr>
        <w:t xml:space="preserve">аккредитационной экспертизы профессиональной образовательной программы. Отчет эксперта оформляется по форме, приведенной в Приложении 1.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Окончательная оценка каждого показателя производиться только по итогам очного визита эксперта в организацию, осущес</w:t>
      </w:r>
      <w:r>
        <w:rPr>
          <w:color w:val="000000" w:themeColor="text1"/>
        </w:rPr>
        <w:t xml:space="preserve">твляющую образовательную деятельность. Особое внимание эксперта во время проведения очного визита в организацию, осуществляющую образовательную деятельность, должно быть уделено показателям, оцененными в ходе предварительной оценки на «не соответствует».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6"/>
        <w:numPr>
          <w:ilvl w:val="1"/>
          <w:numId w:val="37"/>
        </w:numPr>
        <w:rPr>
          <w:rFonts w:ascii="Times New Roman" w:hAnsi="Times New Roman" w:cs="Times New Roman"/>
          <w:color w:val="000000" w:themeColor="text1"/>
        </w:rPr>
      </w:pPr>
      <w:r/>
      <w:bookmarkStart w:id="11" w:name="_Toc56592775"/>
      <w:r/>
      <w:bookmarkStart w:id="12" w:name="_Toc63250769"/>
      <w:r>
        <w:rPr>
          <w:rFonts w:ascii="Times New Roman" w:hAnsi="Times New Roman" w:cs="Times New Roman"/>
          <w:color w:val="000000" w:themeColor="text1"/>
        </w:rPr>
        <w:t xml:space="preserve">Проведение очного визита в организацию, осуществляющую образовательную деятельность</w:t>
      </w:r>
      <w:bookmarkEnd w:id="11"/>
      <w:r/>
      <w:bookmarkEnd w:id="12"/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Очный визит эксперта в организацию, осуществляющую образовательную деятельность, является одним из важнейших этапов аккредитационной экспертизы в рамках ПОА профессиональной образовательной программы.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В процессе очного визита эксперт может не только уточнить предоставленные организацией, осуществляющей образовательную деятельность, в самообследовании факты, но и п</w:t>
      </w:r>
      <w:r>
        <w:rPr>
          <w:color w:val="000000" w:themeColor="text1"/>
        </w:rPr>
        <w:t xml:space="preserve">ровести прямую оценку уровня сформированности компетенций у студентов выпускного курса. Для подтверждения фактов, указанных в отчете о самообследовании, во время очного визита эксперты проводят интервью с различными участниками образовательного процесса.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ри проведении встреч эксперт может воспользоваться примерными вопросами, приведенными в данных инструктивно-методических материалах или дополнить их своими вопросами. Основная цель проведения интервьюирования – уточнить и удостовериться, что образовательны</w:t>
      </w:r>
      <w:r>
        <w:rPr>
          <w:color w:val="000000" w:themeColor="text1"/>
        </w:rPr>
        <w:t xml:space="preserve">й процесс по аккредитуемой профессиональной образовательной программе в организации, осуществляющей образовательную деятельность, реализуется в соответствии с положениями, установленными профессиональными стандартами и требованиями рынка труда в интересах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По итогам очного визита в организацию, осуществляющую образовательную деятельность, эксперт вносит уточнения и дополнения </w:t>
      </w:r>
      <w:r>
        <w:rPr>
          <w:color w:val="000000" w:themeColor="text1"/>
        </w:rPr>
        <w:t xml:space="preserve">в  отчет</w:t>
      </w:r>
      <w:r>
        <w:rPr>
          <w:color w:val="000000" w:themeColor="text1"/>
        </w:rPr>
        <w:t xml:space="preserve">, составленный по результатам самообследования образовательной программы, формирует  окончательный отчет и дает свое заключение о соответствии уровня и качества реализации образовательной программы показателям и критериям ПОА, установленным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Примерный перечень вопросов для встречи с руководителями организации, осуществляющей образовательную деятельность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Какие направления подготовки являются стратегически важными для организации, осуществляющей образовательную деятельность?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Есть ли в организации, осуществляющей образовательную деятельность, эксклюзивные для федерального (регионального) рынка образовательных услуг профили подготовки/специальности/профессии, востребованные у абитуриентов и/или работодателей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Сколько студентов обучается в организации, осуществляющей образовательную деятельность по направлениям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Какой процент студентов проходит обучение в очной и заочной формах?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6"/>
        </w:numPr>
        <w:rPr>
          <w:color w:val="000000" w:themeColor="text1"/>
        </w:rPr>
      </w:pPr>
      <w:r>
        <w:rPr>
          <w:color w:val="000000" w:themeColor="text1"/>
        </w:rPr>
        <w:t xml:space="preserve">Какой процент студентов обучается за счет средств федерального бюджета (бюджетов субъектов РФ, местных бюджетов) и за счет внебюджетных средств?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8"/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Есть ли в организации, осуществляющей образовательную деятельность, студенты, обучающиеся на основании договоров с оплатой стоимости обучения юридическими лицами (работодателями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)? По каким профилям подготовки/специальностям/профессиям учатся такие студенты?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Каким образом в организации, осуществляющей образовательную деятельность, осуществляется внутренний мониторинг качества образования? Какое структурное подразделение выполняет эту функцию? Привлекаются ли к мониторингу качества образования работодатели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Как происходит в организации, осуществляющей образовательную деятельность, оценка компетентности преподавательского состава: критерии оценки предметной компетентности, частота проведения оценки предметной компетентности.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7"/>
        </w:numPr>
        <w:rPr>
          <w:color w:val="000000" w:themeColor="text1"/>
        </w:rPr>
      </w:pPr>
      <w:r>
        <w:rPr>
          <w:color w:val="000000" w:themeColor="text1"/>
        </w:rPr>
        <w:t xml:space="preserve">Назначаются ли студентам, обучающимся в организации, осуществляющей образовательную деятельность, стипендии Президента и Правительства Российской Федерации, именные стипендии и/или стипендии организаций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за выдающиеся успехи в </w:t>
      </w:r>
      <w:r>
        <w:rPr>
          <w:color w:val="000000" w:themeColor="text1"/>
        </w:rPr>
        <w:t xml:space="preserve">научно-исследовательской</w:t>
      </w:r>
      <w:r>
        <w:rPr>
          <w:color w:val="000000" w:themeColor="text1"/>
        </w:rPr>
        <w:t xml:space="preserve"> работе и других научных достижениях?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Примерный перечень вопросов для встречи с работником, организации, осуществляющей образовательную деятельность, ответственным за разработку, реализацию и актуализацию образовательной программы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Какие профессиональные компетенции, планируемые в результате освоения аккредитуемой профессиональной об</w:t>
      </w:r>
      <w:r>
        <w:rPr>
          <w:color w:val="000000" w:themeColor="text1"/>
        </w:rPr>
        <w:t xml:space="preserve">разовательной программы обучающимися, были разработаны на основании профессиональных стандартов и/или иных квалификационных требований? На основании каких профессиональных стандартов и/или иных квалификационных требований были разработаны эти компетенции?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Принимали ли участие в разработке и/или актуализации аккредитуемой профессиональной образовательной программы представители организаций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и/или другие внешние эксперты? Перечислите данные организации и их представителей.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Какие докумен</w:t>
      </w:r>
      <w:r>
        <w:rPr>
          <w:color w:val="000000" w:themeColor="text1"/>
        </w:rPr>
        <w:t xml:space="preserve">ты организации, осуществляющей образовательную деятельность, определяют участие работодателей в разработке и/или актуализации аккредитуемой профессиональной образовательной программы, других учебно-методических материалов, используемых в учебном процессе?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Имеются ли в учебном плане аккредитуемой профессиональной образовательной программы дисциплины (курсы, темы), включенные по заявкам работодателей? Перечислите данные дисциплины (курсы, темы).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Разработаны ли оценочные материалы аккредитуемой профессиональной образовательной программы для проведения </w:t>
      </w:r>
      <w:r>
        <w:rPr>
          <w:color w:val="000000" w:themeColor="text1"/>
        </w:rPr>
        <w:t xml:space="preserve">промежуточной и/или итоговой аттестации обучающихся в соответствии с положениями профессиональных стандартов или иных квалификационных требований?  Принимали ли участие в разработке оценочных материалов </w:t>
      </w:r>
      <w:r>
        <w:rPr>
          <w:color w:val="000000" w:themeColor="text1"/>
        </w:rPr>
        <w:t xml:space="preserve">р</w:t>
      </w:r>
      <w:r>
        <w:rPr>
          <w:color w:val="000000" w:themeColor="text1"/>
        </w:rPr>
        <w:t xml:space="preserve">аботодатели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Приведите примеры таких оценочных материалов.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Участвуют ли представители предприятий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в работе комиссии по государственной итоговой аттестации выпускников аккредитуемой профессиональной образовательной программы и/или государственной экзаменационной комиссии по защите выпускных квалификационных работ?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Каким образом определяется потребность работодателей в выпускниках аккредитуемой профессиональной образовательной программы. Какие исследования в этом отношении проводятся и кем?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Заключены ли у структурного подразделения, ответственного за реализацию аккредитуемой профессиональной образовательной программы, договоры на трудоустройство выпускников с предприятиями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Какой процент выпускников образовательной программы прошлого года трудоустроен по заявкам предприятий?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Сколько студентов об</w:t>
      </w:r>
      <w:r>
        <w:rPr>
          <w:color w:val="000000" w:themeColor="text1"/>
        </w:rPr>
        <w:t xml:space="preserve">учается по аккредитуемой профессиональной образовательной программе? Какой процент студентов обучается по образовательной программе на основании договоров о целевом обучении с органами власти, государственными (муниципальными) учреждениями и организациями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с </w:t>
      </w:r>
      <w:r>
        <w:rPr>
          <w:color w:val="000000" w:themeColor="text1"/>
        </w:rPr>
        <w:t xml:space="preserve">государственным участием за счет средств федерального бюджета? Какой процент студентов обучается по аккредитуемой профессиональной образовательной программе на основании договоров об обучении с оплатой стоимости обучения юридическими лицами (организациями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)?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Как организован набор абитуриентов на обучение по аккредитуемой профессиональной образовательной программе? </w:t>
      </w:r>
      <w:r>
        <w:rPr>
          <w:color w:val="000000" w:themeColor="text1"/>
        </w:rPr>
        <w:t xml:space="preserve">Учитываются ли при наборе на обучение по образовательной программе потребность в выпускниках региональных организаций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, работодателей из соседних регионов?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rPr>
          <w:color w:val="000000" w:themeColor="text1"/>
        </w:rPr>
      </w:pPr>
      <w:r>
        <w:rPr>
          <w:color w:val="000000" w:themeColor="text1"/>
        </w:rPr>
        <w:t xml:space="preserve">Находят ли практическое применение в организациях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выпускные квалификационные работы выпускников аккредитуемой профессиональной образовательной программы? Приведите примеры таких выпускных квалификационных работ.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ind w:left="443" w:right="67" w:firstLine="549"/>
        <w:rPr>
          <w:color w:val="000000" w:themeColor="text1"/>
        </w:rPr>
      </w:pPr>
      <w:r>
        <w:rPr>
          <w:color w:val="000000" w:themeColor="text1"/>
        </w:rPr>
        <w:t xml:space="preserve"> Каким образом учитывается конкурентная среда по аккредитуемой профессиональной образовательной программе? Сколько о</w:t>
      </w:r>
      <w:r>
        <w:rPr>
          <w:color w:val="000000" w:themeColor="text1"/>
        </w:rPr>
        <w:t xml:space="preserve">рганизаций, осуществляющих образовательную деятельность, ведет подготовку по данной образовательной программе? Дайте характеристику основным конкурентам. Назовите основные конкурентные преимущества аккредитуемой профессиональной образовательной программы.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8"/>
        </w:numPr>
        <w:ind w:left="443" w:right="67" w:firstLine="549"/>
        <w:rPr>
          <w:color w:val="000000" w:themeColor="text1"/>
        </w:rPr>
      </w:pPr>
      <w:r>
        <w:rPr>
          <w:color w:val="000000" w:themeColor="text1"/>
        </w:rPr>
        <w:t xml:space="preserve">Назовите приоритетные направления развития аккредитуемой профессиональной образовательной программы.</w:t>
      </w:r>
      <w:r>
        <w:rPr>
          <w:color w:val="000000" w:themeColor="text1"/>
        </w:rPr>
        <w:t xml:space="preserve"> Учитывается ли стратегией развития образовательной программы возможность поступления на рынок труда специалистов из других организаций, осуществляющих образовательную деятельность, по направлению аккредитуемой профессиональной образовательной программы?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Примерный перечень вопросов для встречи с преподавателями, задействованными в реализации образовательной программы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Какие компетенции формируются у обучающихся по аккредитуемой профессиональной образовательной п</w:t>
      </w:r>
      <w:r>
        <w:rPr>
          <w:color w:val="000000" w:themeColor="text1"/>
        </w:rPr>
        <w:t xml:space="preserve">рограмме в результате изучения преподаваемых Вами дисциплин? Какие формы проведения занятий помогают Вам наиболее эффективно сформировать у обучающихся эти компетенции? Какие формы проведения контроля позволяют Вам оценивать эти компетенции у обучающихся?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Имеете ли Вы опыт работы в </w:t>
      </w:r>
      <w:r>
        <w:rPr>
          <w:color w:val="000000" w:themeColor="text1"/>
        </w:rPr>
        <w:t xml:space="preserve">области ИИ</w:t>
      </w:r>
      <w:r>
        <w:rPr>
          <w:color w:val="000000" w:themeColor="text1"/>
        </w:rPr>
        <w:t xml:space="preserve">, в том числе по направлению аккредитуемой профессиональной образовательной программы? В каких организациях и по какому направлению Вы работали?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Содержат ли оценочные средства (контрольные вопросы, задания, ситуации и </w:t>
      </w:r>
      <w:r>
        <w:rPr>
          <w:color w:val="000000" w:themeColor="text1"/>
        </w:rPr>
        <w:t xml:space="preserve">т.д.</w:t>
      </w:r>
      <w:r>
        <w:rPr>
          <w:color w:val="000000" w:themeColor="text1"/>
        </w:rPr>
        <w:t xml:space="preserve">), используемые Вами при текущем и промежуточном контроле успеваемости обучающихся по аккредитуемой профессиональной образовательной программе, материалы, разработанные на основе реальных практических ситуаций?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Предоставляется ли Вам организацией, осуществляющей образовательную деятельность, возможность пройти повышение квалификации в других профильных образовательных организациях и/или стажировку в организациях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, в том числе по направлению преподаваемых дисциплин? Какие курсы повышения квалификации и/или стажировки Вы проходили в последний раз?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Есть ли в организации, осуществляющий образовательную деятельность, инфраструктура, предназн</w:t>
      </w:r>
      <w:r>
        <w:rPr>
          <w:color w:val="000000" w:themeColor="text1"/>
        </w:rPr>
        <w:t xml:space="preserve">аченная для создания, хранения и доставки образовательного контента? Доступны ли Вам электронные образовательные ресурсы (электронные учебники, компьютерные обучающие системы и др.) по направлению аккредитуемой профессиональной образовательной программы?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Принимаете ли Вы участие в деятельности профессиональных сообществ или в работе научно-технических конференций по направлению аккредитуемой профессиональной образовательной программы?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Ведете ли Вы научно-исследовательскую работу по направлению аккредитуемой профессиональной образовательной программы? Имеются ли у Вас научные публикации? Осуществляете ли Вы руководство научной деятельностью аспирантов, соискателей, докторантов?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Ведете ли Вы работу по созданию технических средств обучения для улучшения и развития учебного процесса, в том числе по </w:t>
      </w:r>
      <w:r>
        <w:rPr>
          <w:color w:val="000000" w:themeColor="text1"/>
        </w:rPr>
        <w:t xml:space="preserve">аккредитуемой профессиональной образовательной программе? Какие технические средства обучения были разработаны непосредственно Вами или под Вашим руководством?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Ведете ли Вы работу по разработке учебно-методических материалов, в том числе для аккредитуемой профессиональной образовательной программы? Есть ли в образовательной организации стандарт</w:t>
      </w:r>
      <w:r>
        <w:rPr>
          <w:color w:val="000000" w:themeColor="text1"/>
        </w:rPr>
        <w:t xml:space="preserve"> (общие требования)</w:t>
      </w:r>
      <w:r>
        <w:rPr>
          <w:color w:val="000000" w:themeColor="text1"/>
        </w:rPr>
        <w:t xml:space="preserve"> на разработку и оформление учебно-методических материалов для учебного процесса?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29"/>
        </w:numPr>
        <w:rPr>
          <w:color w:val="000000" w:themeColor="text1"/>
        </w:rPr>
      </w:pPr>
      <w:r>
        <w:rPr>
          <w:color w:val="000000" w:themeColor="text1"/>
        </w:rPr>
        <w:t xml:space="preserve">Как происходит мониторинг Вашей деятельности со стороны организации, осуществляющей образовательную деятельность?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Примерный перечень вопросов для встречи со студентами, обучающимися по образовательной программе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Проводятся ли в процессе обучения по аккредитуемой профессиональной образовательно</w:t>
      </w:r>
      <w:r>
        <w:rPr>
          <w:color w:val="000000" w:themeColor="text1"/>
        </w:rPr>
        <w:t xml:space="preserve">й программе занятия в учебных лабораториях? Как организовано проведение этих занятий? Достаточно ли в учебных лабораториях расходных материалов для выполнения лабораторных работ? Какие профессиональные навыки вы получили при выполнении лабораторных работ?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Можете ли вы пользоваться компьютерными классами для самостоятельной подготовки по предметам, курсам и дисциплинам аккредитуемой профессиональной образовательной программы? Доступы ли вам электронные библиотеки? Как часто вы ими пользуетесь?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В каких формах проводятся занятия в процессе обучения по аккредитуемой профессиональной образовательной программе? Эффективны ли, по вашему мнению, используемые формы проведения занятий, для формирования профессиональных навыков?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Привлекаетесь ли вы к оценке качества преподавания предметов, курсов и дисциплин аккредитуемой профессиональной образовательной программы? Как это происходит?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Есть ли у вас возможность выстроить собственную траекторию обучения? Предоставляется ли вам возможность самостоятельно выбрать предметы, курсы и/или дисциплины аккредитуемой профессиональной образовательной программы?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Есть ли у вас возможность в процессе обучения по аккредитуемой профессиональной образовательной программе получить в организации, осуществляющей образовательную деятельность, дополнительные квалификации (профессии)? Как это происходит?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Знаете ли вы о научно-исследовательских и опытно-конструкторских работах, выполняемых в организации, осуществляющей образовательную деятельность, в том числе по направлению аккре</w:t>
      </w:r>
      <w:r>
        <w:rPr>
          <w:color w:val="000000" w:themeColor="text1"/>
        </w:rPr>
        <w:t xml:space="preserve">дитуемой профессиональной образовательной программы? Знаете ли вы о грантах, выделяемых организации, осуществляющей образовательную деятельность, на выполнение таких работ? Кто из вас был привлечен к выполнению таких работ и получил за это вознаграждение?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ринимаете ли вы участие в студенческих научно-технических конференциях, в том числе по направлению аккредитуемой профессиональной образовательной программы? Проводятся ли такие конференции в вашей организации, осуществляющей образовательную деятельность?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Есть ли в организации, осуществляющей образовательную деятельность, стипендии Президента и Правительства Российской Федерации, именные стипендии и/или стипендии организаций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за выдающиеся успехи в научно-исследовательской работе и других научных достижениях? Кто из вас получает или получал такие стипендии?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Какие профессиональные навыки вы получили при прохождения практики по аккредитуемой профессиональной образовательной программе в организациях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Могли ли вы в период прохождения практики пользоваться документами, оборудованием и материалами организации, в которой проходили практику?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Организуются ли для вас профориентационные встречи с представителями организаций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, ориентированных на выпускников аккредитуемой профессиональной образовательной программы?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Проводятся ли для студентов выпускного курса тренинги по трудоустройству, консультации по составлению резюме? Оказывает ли организация, осуществляющая образовательную деятельность, помощь в вашем трудоустройстве в организации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0"/>
        </w:numPr>
        <w:rPr>
          <w:color w:val="000000" w:themeColor="text1"/>
        </w:rPr>
      </w:pPr>
      <w:r>
        <w:rPr>
          <w:color w:val="000000" w:themeColor="text1"/>
        </w:rPr>
        <w:t xml:space="preserve">Кто из студентов выпускного курса получил приглашение на работу от работодателей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по итогам прохождения практики по аккредитуемой профессиональной образовательной программе?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b/>
          <w:color w:val="000000" w:themeColor="text1"/>
        </w:rPr>
        <w:t xml:space="preserve">Примерный перечень вопросов для встречи с руководителем структурного подразделения службы трудоустройства организации, осуществляющей образовательную деятельность (при наличии службы)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Анализируется ли организацией, осуществляющей образовательную деятельность, потребность рынка труда в выпускниках аккредитуемой профессиональной образовательной программы? Каким образом это делается? Какие решения принимаются на основании такого анализа?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Каким образом организация, осуществляющая образовательную деятельность, организует взаимодействие студентов и/или выпускников аккредитуемой профессиональной образовательной программы с </w:t>
      </w:r>
      <w:r>
        <w:rPr>
          <w:color w:val="000000" w:themeColor="text1"/>
        </w:rPr>
        <w:t xml:space="preserve">работодателями? Какие Вы проводите мероприятия по трудоустройству выпускников программы в организации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Сколько выпускников аккредитуемой профессиональной образовательной программы трудоустроилось в организации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в результате обращения в вашу службу за последние три года?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1"/>
        </w:numPr>
        <w:rPr>
          <w:color w:val="000000" w:themeColor="text1"/>
        </w:rPr>
      </w:pPr>
      <w:r>
        <w:rPr>
          <w:color w:val="000000" w:themeColor="text1"/>
        </w:rPr>
        <w:t xml:space="preserve">Осуществляется ли организацией, осуществляющей образовательную деятельность, мониторинг </w:t>
      </w:r>
      <w:r>
        <w:rPr>
          <w:color w:val="000000" w:themeColor="text1"/>
        </w:rPr>
        <w:t xml:space="preserve">закрепляемости</w:t>
      </w:r>
      <w:r>
        <w:rPr>
          <w:color w:val="000000" w:themeColor="text1"/>
        </w:rPr>
        <w:t xml:space="preserve"> выпускников аккредитуемой профессиональной образовательной программы на рабочих местах в организациях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 и их карьерный рост?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6"/>
        <w:numPr>
          <w:ilvl w:val="1"/>
          <w:numId w:val="37"/>
        </w:numPr>
        <w:rPr>
          <w:rFonts w:ascii="Times New Roman" w:hAnsi="Times New Roman" w:cs="Times New Roman"/>
          <w:color w:val="000000" w:themeColor="text1"/>
        </w:rPr>
      </w:pPr>
      <w:r/>
      <w:bookmarkStart w:id="13" w:name="_Toc56592776"/>
      <w:r/>
      <w:bookmarkStart w:id="14" w:name="_Toc63250770"/>
      <w:r>
        <w:rPr>
          <w:rFonts w:ascii="Times New Roman" w:hAnsi="Times New Roman" w:cs="Times New Roman"/>
          <w:color w:val="000000" w:themeColor="text1"/>
        </w:rPr>
        <w:t xml:space="preserve">Подготовка отчета эксперта</w:t>
      </w:r>
      <w:bookmarkEnd w:id="13"/>
      <w:r/>
      <w:bookmarkEnd w:id="14"/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Отчет эксперта (Приложение 1)</w:t>
      </w:r>
      <w:r>
        <w:rPr>
          <w:color w:val="000000" w:themeColor="text1"/>
        </w:rPr>
        <w:t xml:space="preserve"> составляется по результатам анализа отчета о самообследовании и очного визита эксперта в организацию, осуществляющую образовательную деятельность, и представляет собой аналитический материал, содержащий: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Общие сведения об организации, осущест</w:t>
      </w:r>
      <w:r>
        <w:rPr>
          <w:color w:val="000000" w:themeColor="text1"/>
        </w:rPr>
        <w:t xml:space="preserve">вляющей образовательную деятельность, представившей образовательную программу на аккредитационную экспертизу. Приводиться полное наименование, юридический адрес, организационно-правовая форма, тип организации, осуществляющей образовательную деятельность;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Общие сведения о представленной на аккредитационную экспертизу профессиональной образовательной программе. Приводятся сведения о виде образовательной программ, код и наименование профессии/специальности/направления подготов</w:t>
      </w:r>
      <w:r>
        <w:rPr>
          <w:color w:val="000000" w:themeColor="text1"/>
        </w:rPr>
        <w:t xml:space="preserve">ки, наименование образовательной программы, количество обучающихся по образовательной программе, сведения о разработчиках образовательной программы, профессиональных стандартах, с учетом положений  которых разработана образовательная программа,  формы обуч</w:t>
      </w:r>
      <w:r>
        <w:rPr>
          <w:color w:val="000000" w:themeColor="text1"/>
        </w:rPr>
        <w:t xml:space="preserve">ения при реализации образовательной программы, дисциплины, входящие в учебный план образовательной программы, роль и место образовательной программы на региональном рынке образовательных услуг, перспективные направления развития образовательной программы;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Сведения об эксперте, проводившем аккредитационную экспертизу профессиональной образовательной программ</w:t>
      </w:r>
      <w:r>
        <w:rPr>
          <w:color w:val="000000" w:themeColor="text1"/>
        </w:rPr>
        <w:t xml:space="preserve">ы. Приводит</w:t>
      </w:r>
      <w:r>
        <w:rPr>
          <w:color w:val="000000" w:themeColor="text1"/>
        </w:rPr>
        <w:t xml:space="preserve">ся ФИО, место работы и должность эксперта.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Характеристику профессиональной образовательной программы. Приводятся сведения о количестве обучающихся по образовательной программе, формах обучения при реализации образовательной программы, </w:t>
      </w:r>
      <w:r>
        <w:rPr>
          <w:color w:val="000000" w:themeColor="text1"/>
        </w:rPr>
        <w:t xml:space="preserve">информация о разработчиках образовательной программы, профессиональных стандартах, с учетом положений  которых разработана образовательная программа,  дисциплинах, входящих в учебный план обра</w:t>
      </w:r>
      <w:r>
        <w:rPr>
          <w:color w:val="000000" w:themeColor="text1"/>
        </w:rPr>
        <w:t xml:space="preserve">зовательной программы, роли образовательной программы на региональном рынке образовательных услуг, перспективных направлениях развития образовательной программы и соответствии образовательной программы значениям показателей и критериев ПОА, установленным 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При оценке соответствия образовательной программы показателям и критериям ПОА, эксперт производит сопоставление показателей образовательной программы с пороговыми значениями показателей, установленными</w:t>
      </w:r>
      <w:r>
        <w:rPr>
          <w:color w:val="000000" w:themeColor="text1"/>
        </w:rPr>
        <w:t xml:space="preserve"> Положением о</w:t>
      </w:r>
      <w:r>
        <w:rPr>
          <w:color w:val="000000" w:themeColor="text1"/>
        </w:rPr>
        <w:t xml:space="preserve"> проведени</w:t>
      </w:r>
      <w:r>
        <w:rPr>
          <w:color w:val="000000" w:themeColor="text1"/>
        </w:rPr>
        <w:t xml:space="preserve">и</w:t>
      </w:r>
      <w:r>
        <w:rPr>
          <w:color w:val="000000" w:themeColor="text1"/>
        </w:rPr>
        <w:t xml:space="preserve"> профессионально-общественной аккредитации образовательных программ в интересах </w:t>
      </w:r>
      <w:r>
        <w:rPr>
          <w:color w:val="000000" w:themeColor="text1"/>
        </w:rPr>
        <w:t xml:space="preserve">в области ИИ</w:t>
      </w:r>
      <w:r>
        <w:rPr>
          <w:color w:val="000000" w:themeColor="text1"/>
        </w:rPr>
        <w:t xml:space="preserve">.  Пороговые значения показателей по группам критериев ПОА приведены в </w:t>
      </w:r>
      <w:r>
        <w:rPr>
          <w:color w:val="000000" w:themeColor="text1"/>
        </w:rPr>
        <w:t xml:space="preserve">Разделе </w:t>
      </w:r>
      <w:r>
        <w:rPr>
          <w:color w:val="000000" w:themeColor="text1"/>
        </w:rPr>
        <w:t xml:space="preserve">7</w:t>
      </w:r>
      <w:r>
        <w:rPr>
          <w:color w:val="000000" w:themeColor="text1"/>
        </w:rPr>
        <w:t xml:space="preserve">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Оценка соответствия образовательной программы показателям ПОА определяется экспертным образом на</w:t>
      </w:r>
      <w:r>
        <w:rPr>
          <w:color w:val="000000" w:themeColor="text1"/>
        </w:rPr>
        <w:t xml:space="preserve"> основе подтверждающих документов, очного ознакомления с условиями реализации образовательной программы, а также интервьюирования работников, ответственных за реализацию образовательной программы, преподавателей и обучающихся по образовательной программе.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Соответствие или приемлемое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выполнение показателя (эксперт оценил, что образовательная программа соответствует </w:t>
      </w:r>
      <w:r>
        <w:rPr>
          <w:color w:val="000000" w:themeColor="text1"/>
        </w:rPr>
        <w:t xml:space="preserve">показателю ПОА,</w:t>
      </w:r>
      <w:r>
        <w:rPr>
          <w:color w:val="000000" w:themeColor="text1"/>
        </w:rPr>
        <w:t xml:space="preserve"> установленному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 в необходимом объеме или в объеме, который может быть определен как «зона ближайшего развития образовательной программы») – выставляется экспертная оценка «соответствует».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Несоответствие или недостаточное выполнение показателя (эксперт оценил, что образовательная программа не соответствует показателю ПОА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) – выставляется экспертная оценка «не соответствует».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Результаты соответствия профессиональной образовательной программы каждому из критериев ПОА заносятся экспертом в отчет и служат основанием для итогового заключения.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Основные положительные моменты профессиональной обра</w:t>
      </w:r>
      <w:r>
        <w:rPr>
          <w:color w:val="000000" w:themeColor="text1"/>
        </w:rPr>
        <w:t xml:space="preserve">зовательной программы. Приводится</w:t>
      </w:r>
      <w:r>
        <w:rPr>
          <w:color w:val="000000" w:themeColor="text1"/>
        </w:rPr>
        <w:t xml:space="preserve"> характеристика выявленных в ходе аккредитационной экспертизы сильных сторон образовательной </w:t>
      </w:r>
      <w:r>
        <w:rPr>
          <w:color w:val="000000" w:themeColor="text1"/>
        </w:rPr>
        <w:t xml:space="preserve">программы, а также рекомендации</w:t>
      </w:r>
      <w:r>
        <w:rPr>
          <w:color w:val="000000" w:themeColor="text1"/>
        </w:rPr>
        <w:t xml:space="preserve"> эксперта по улучшению образовательной программы (при наличии).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Итогово</w:t>
      </w:r>
      <w:r>
        <w:rPr>
          <w:color w:val="000000" w:themeColor="text1"/>
        </w:rPr>
        <w:t xml:space="preserve">е заключение эксперта. Приводит</w:t>
      </w:r>
      <w:r>
        <w:rPr>
          <w:color w:val="000000" w:themeColor="text1"/>
        </w:rPr>
        <w:t xml:space="preserve">ся итоговое зак</w:t>
      </w:r>
      <w:r>
        <w:rPr>
          <w:color w:val="000000" w:themeColor="text1"/>
        </w:rPr>
        <w:t xml:space="preserve">лючение эксперта о соответствии</w:t>
      </w:r>
      <w:r>
        <w:rPr>
          <w:color w:val="000000" w:themeColor="text1"/>
        </w:rPr>
        <w:t xml:space="preserve"> либо несоответствии образовательной программы критериям ПОА, установленным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, с указанием показателей и критериев, которые в ходе проведенной аккредитационной экспертизы получили оценку «неудовлетворительно» (при наличии).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 w:type="page" w:clear="all"/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6"/>
        <w:numPr>
          <w:ilvl w:val="1"/>
          <w:numId w:val="37"/>
        </w:numPr>
        <w:rPr>
          <w:rFonts w:ascii="Times New Roman" w:hAnsi="Times New Roman" w:cs="Times New Roman"/>
          <w:color w:val="000000" w:themeColor="text1"/>
        </w:rPr>
      </w:pPr>
      <w:r/>
      <w:bookmarkStart w:id="15" w:name="_Toc56592777"/>
      <w:r/>
      <w:bookmarkStart w:id="16" w:name="_Toc63250771"/>
      <w:r>
        <w:rPr>
          <w:rFonts w:ascii="Times New Roman" w:hAnsi="Times New Roman" w:cs="Times New Roman"/>
          <w:color w:val="000000" w:themeColor="text1"/>
        </w:rPr>
        <w:t xml:space="preserve">Подготовка отчета экспертной комиссии</w:t>
      </w:r>
      <w:bookmarkEnd w:id="15"/>
      <w:r/>
      <w:bookmarkEnd w:id="16"/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Отчет экспертной комиссии (П</w:t>
      </w:r>
      <w:r>
        <w:rPr>
          <w:color w:val="000000" w:themeColor="text1"/>
        </w:rPr>
        <w:t xml:space="preserve">риложение 2) составляется секретарем (членом) экспертной комиссии на основе отчетов экспертов, входящих в экспертную комиссию (экспертную группу), утверждается председателем экспертной комиссии (руководителем экспертной группы), и представляет собой аналит</w:t>
      </w:r>
      <w:r>
        <w:rPr>
          <w:color w:val="000000" w:themeColor="text1"/>
        </w:rPr>
        <w:t xml:space="preserve">ический материал, содержащий следующие элементы: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8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Общая характеристика</w:t>
      </w:r>
      <w:r>
        <w:rPr>
          <w:color w:val="000000" w:themeColor="text1"/>
        </w:rPr>
        <w:t xml:space="preserve"> организации, осуществляющей образовательную деятельность, представившей образовательную программу на аккред</w:t>
      </w:r>
      <w:r>
        <w:rPr>
          <w:color w:val="000000" w:themeColor="text1"/>
        </w:rPr>
        <w:t xml:space="preserve">итационную экспертизу. Приводит</w:t>
      </w:r>
      <w:r>
        <w:rPr>
          <w:color w:val="000000" w:themeColor="text1"/>
        </w:rPr>
        <w:t xml:space="preserve">ся полное наименование, юридический адрес, организационно-правовая форма, тип организации, осу</w:t>
      </w:r>
      <w:r>
        <w:rPr>
          <w:color w:val="000000" w:themeColor="text1"/>
        </w:rPr>
        <w:t xml:space="preserve">ществляющей образовательную деятельность, информация о структуре общем количестве реализуемых образовательных программ, общем количестве обучающихся, месте организации, осуществляющей образовательную деятельность на региональном (федеральном) рынке труда.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88"/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Общая характеристика</w:t>
      </w:r>
      <w:r>
        <w:rPr>
          <w:color w:val="000000" w:themeColor="text1"/>
        </w:rPr>
        <w:t xml:space="preserve"> представленной на аккредитационную экспертизу образовательной программ</w:t>
      </w:r>
      <w:r>
        <w:rPr>
          <w:color w:val="000000" w:themeColor="text1"/>
        </w:rPr>
        <w:t xml:space="preserve">ы. Приводится вид образовательной программ, код и наименование профессии/специальности/направления подготовки, наименование образовательной программы, профессиональные стандарты, с учетом положений которых разработана образовательная программа, формы обуче</w:t>
      </w:r>
      <w:r>
        <w:rPr>
          <w:color w:val="000000" w:themeColor="text1"/>
        </w:rPr>
        <w:t xml:space="preserve">ния при реализации образовательной программы, дисциплины,  входящих в учебный план образовательной программы, роль и место образовательной программы на региональном рынке образовательных услуг, перспективные направления развития образовательной программы.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Сведения об экспертах, участвующих в аккредитационной экспертизе образовательной программы. Приводятся ФИО, место работы, </w:t>
      </w:r>
      <w:r>
        <w:rPr>
          <w:color w:val="000000" w:themeColor="text1"/>
        </w:rPr>
        <w:t xml:space="preserve">должности экспертов, проводивших аккредитационную экспертизу образовательной программы.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4"/>
        </w:numPr>
        <w:rPr>
          <w:color w:val="000000" w:themeColor="text1"/>
        </w:rPr>
      </w:pPr>
      <w:r>
        <w:rPr>
          <w:color w:val="000000" w:themeColor="text1"/>
        </w:rPr>
        <w:t xml:space="preserve">Соответствие аккредитуемой образовательной программы критериям ПОА.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Результаты соответствия профессиональной образовательной программы критериям ПОА, установленным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заносятся  секретарем</w:t>
      </w:r>
      <w:r>
        <w:rPr>
          <w:color w:val="000000" w:themeColor="text1"/>
        </w:rPr>
        <w:t xml:space="preserve"> экспертной комиссии (экспертом, ответственным за подготовку отчета) в отчет и служат основанием для итогового заключения.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Основные положительные моменты образовательной программы.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Приводится характеристика выявленных в ходе аккредитационной экспертизы сильных сторон образовательной программы, а также рекомендации экспертной комиссии по улучшению образовательной программы (при наличии).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35"/>
        </w:numPr>
        <w:rPr>
          <w:color w:val="000000" w:themeColor="text1"/>
        </w:rPr>
      </w:pPr>
      <w:r>
        <w:rPr>
          <w:color w:val="000000" w:themeColor="text1"/>
        </w:rPr>
        <w:t xml:space="preserve">Итоговое заключение.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Подготовленный по результатам проведенной аккредитационной экспертизы отчет и п</w:t>
      </w:r>
      <w:r>
        <w:rPr>
          <w:color w:val="000000" w:themeColor="text1"/>
        </w:rPr>
        <w:t xml:space="preserve">роект заключения о соответствии либо несоответствии</w:t>
      </w:r>
      <w:r>
        <w:rPr>
          <w:color w:val="000000" w:themeColor="text1"/>
        </w:rPr>
        <w:t xml:space="preserve"> образовательной программы показателям ПОА, установленным </w:t>
      </w:r>
      <w:r>
        <w:rPr>
          <w:color w:val="000000" w:themeColor="text1"/>
        </w:rPr>
        <w:t xml:space="preserve">Альянсом ИИ</w:t>
      </w:r>
      <w:r>
        <w:rPr>
          <w:color w:val="000000" w:themeColor="text1"/>
        </w:rPr>
        <w:t xml:space="preserve">, согласуется со всеми участвующими в проведении аккредитационной экспертизы экспертами, и утверждается председателем экспертной комиссии.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Отчет и проект заключения экспертной комиссии может направляться в организацию, осуществляющую образовательную деятельность, представившую образов</w:t>
      </w:r>
      <w:r>
        <w:rPr>
          <w:color w:val="000000" w:themeColor="text1"/>
        </w:rPr>
        <w:t xml:space="preserve">ательную программу на аккредитационную экспертизу, которая после ознакомления с отчетом имеет право корректировать фактические неточности, содержащиеся в отчете (с приложением обосновывающих и подтверждающих материалов), но не выводы экспертной комиссии.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  <w:t xml:space="preserve">После рассмотре</w:t>
      </w:r>
      <w:r>
        <w:rPr>
          <w:color w:val="000000" w:themeColor="text1"/>
        </w:rPr>
        <w:t xml:space="preserve">ния представленных организацией</w:t>
      </w:r>
      <w:r>
        <w:rPr>
          <w:color w:val="000000" w:themeColor="text1"/>
        </w:rPr>
        <w:t xml:space="preserve">, осуществляющей образовательную деятельность, дополнительных обосновывающих и подтверждающих материалов и внесения (при необходимости) исправлений, </w:t>
      </w:r>
      <w:r>
        <w:rPr>
          <w:color w:val="000000" w:themeColor="text1"/>
        </w:rPr>
        <w:t xml:space="preserve">отчет и проект</w:t>
      </w:r>
      <w:r>
        <w:rPr>
          <w:color w:val="000000" w:themeColor="text1"/>
        </w:rPr>
        <w:t xml:space="preserve"> заключения экспертной комиссии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согласуется со всеми участвующими в проведении аккредитационной экспертизы экспертами, и утверждается председателем экспертной комиссии.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5"/>
        <w:numPr>
          <w:ilvl w:val="0"/>
          <w:numId w:val="1"/>
        </w:numPr>
        <w:rPr>
          <w:color w:val="000000" w:themeColor="text1"/>
        </w:rPr>
      </w:pPr>
      <w:r/>
      <w:bookmarkStart w:id="17" w:name="_Toc63250772"/>
      <w:r>
        <w:rPr>
          <w:color w:val="000000" w:themeColor="text1"/>
        </w:rPr>
        <w:t xml:space="preserve">Показатели профессионально-общественной аккредитации образовательных программ</w:t>
      </w:r>
      <w:bookmarkEnd w:id="17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Объектами профессионально-общественной аккредитации</w:t>
      </w:r>
      <w:r>
        <w:rPr>
          <w:color w:val="000000" w:themeColor="text1"/>
          <w:szCs w:val="28"/>
        </w:rPr>
        <w:t xml:space="preserve">, осуществляемой Альянсом ИИ, являются образовательные программы. В основе ПОА профессиональных образовательных программ лежит экспертная оценка соответствия образовательной программы, реализуемой в области искусственного интеллекта, следующим критериям: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88"/>
        <w:numPr>
          <w:ilvl w:val="0"/>
          <w:numId w:val="43"/>
        </w:num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подтвержденное участие работодателей в проектировании, реализации и оценке результативности образовательной программы;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88"/>
        <w:numPr>
          <w:ilvl w:val="0"/>
          <w:numId w:val="43"/>
        </w:num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соответствие базового образования,</w:t>
      </w:r>
      <w:bookmarkStart w:id="18" w:name="_GoBack"/>
      <w:r/>
      <w:bookmarkEnd w:id="18"/>
      <w:r>
        <w:rPr>
          <w:color w:val="000000" w:themeColor="text1"/>
          <w:szCs w:val="28"/>
        </w:rPr>
        <w:t xml:space="preserve"> наличие результатов научных исследований и решения практических задач в области искусственного интеллекта у кадрового состава образовательной программы;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88"/>
        <w:numPr>
          <w:ilvl w:val="0"/>
          <w:numId w:val="43"/>
        </w:num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обеспеченность подготовки в области искусственного интеллекта компьютерными/вычислительными и техническими ресурсами;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988"/>
        <w:numPr>
          <w:ilvl w:val="0"/>
          <w:numId w:val="43"/>
        </w:num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соответствие формируемых компетенций у выпускников профессиональным стандартам, требованиям к профессиям в области искусственного интеллекта.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Каждый критерий характеризуется показателями, имеющими качественное или количественное пороговое значение и позволяющими</w:t>
      </w:r>
      <w:r>
        <w:rPr>
          <w:color w:val="000000" w:themeColor="text1"/>
          <w:szCs w:val="28"/>
        </w:rPr>
        <w:t xml:space="preserve"> провести экспертную оценку образовательной программы. Аккредитующая организация может изменять критерии и (или) устанавливать дополнительные критерии с учетом особенностей аккредитуемой образовательной программы и профессиональных стандартов, требований.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работодателей в проектировании, реализации и оценке результативности образовательной программы оценивается по следующим показателям: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работодателей в разработке образовательной программы (оценивается по балльной шкале, использованию каждой из форм участия по перечню, установленному АИИ, присваивается один балл) – не менее 3 баллов;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работодателей в реализации образовательной программы (оценивается по балльной шкале, использованию каждой из форм участия по перечню, установленному АИИ, присваивается один балл) – не менее 3 баллов;</w:t>
      </w:r>
      <w:r>
        <w:rPr>
          <w:color w:val="000000" w:themeColor="text1"/>
          <w:szCs w:val="28"/>
          <w:highlight w:val="yellow"/>
        </w:rPr>
        <w:t xml:space="preserve">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работодателей в повышении качества кадрового потенциала вуза (оценивается по балльной шкале, использованию каждой из форм участия по перечню, установленному АИИ, присваивается один балл) – не менее 3 баллов;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работодателей в формировании те</w:t>
      </w:r>
      <w:r>
        <w:rPr>
          <w:color w:val="000000" w:themeColor="text1"/>
          <w:szCs w:val="28"/>
        </w:rPr>
        <w:t xml:space="preserve">матики выпускных (дипломных) работ и трудоустройстве выпускников (оценивается доля обучающихся, готовящих ВКР по теме работодателя и (или) выпускников, трудоустроенных работодателем, от общего количества студентов программы) – более 30% по одной из долей;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участие работодателей в принятии решений, управлении образовательной программой и оценке её результативности (оценивается по балльной шкале, использованию каждой из форм участия по перечню, установленному АИИ, присваивается один балл) – не менее 2 баллов.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786689</wp:posOffset>
                </wp:positionH>
                <wp:positionV relativeFrom="page">
                  <wp:posOffset>10006584</wp:posOffset>
                </wp:positionV>
                <wp:extent cx="9144" cy="146304"/>
                <wp:effectExtent l="0" t="0" r="0" b="0"/>
                <wp:wrapTopAndBottom/>
                <wp:docPr id="1" name="Group 43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" cy="146304"/>
                          <a:chOff x="0" y="0"/>
                          <a:chExt cx="9144" cy="14630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 fill="norm" stroke="1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51664384;o:allowoverlap:true;o:allowincell:true;mso-position-horizontal-relative:page;margin-left:61.94pt;mso-position-horizontal:absolute;mso-position-vertical-relative:page;margin-top:787.92pt;mso-position-vertical:absolute;width:0.72pt;height:11.52pt;mso-wrap-distance-left:9.00pt;mso-wrap-distance-top:0.00pt;mso-wrap-distance-right:9.00pt;mso-wrap-distance-bottom:0.00pt;" coordorigin="0,0" coordsize="91,1463">
                <v:shape id="shape 1" o:spid="_x0000_s1" style="position:absolute;left:0;top:0;width:91;height:1463;visibility:visible;" path="m0,0l99998,0l99998,99998l0,99998l0,0e" coordsize="100000,100000" fillcolor="#000000" strokeweight="0.00pt">
                  <v:path textboxrect="0,0,0,0"/>
                  <w10:wrap type="topAndBottom"/>
                </v:shape>
              </v:group>
            </w:pict>
          </mc:Fallback>
        </mc:AlternateContent>
      </w:r>
      <w:r>
        <w:rPr>
          <w:color w:val="000000" w:themeColor="text1"/>
          <w:szCs w:val="28"/>
        </w:rPr>
        <w:t xml:space="preserve">Соответствие базового образования, наличие результатов научных исследований и решения практических задач в области искусственного интеллекта у кадрового состава образовательной программы оценивается по следующим показателям: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соответствие профильного базового образования по укрупнённым группам «Математика и механика», «Компьютерные и информационные науки», «Физика и ас</w:t>
      </w:r>
      <w:r>
        <w:rPr>
          <w:color w:val="000000" w:themeColor="text1"/>
          <w:szCs w:val="28"/>
        </w:rPr>
        <w:t xml:space="preserve">трономия», «Химия», «Информатика и вычислительная техника», направлению подготовки «Биоинженерия и биоинформатика» либо аналогичным по соответствующим классификаторам на момент выпуска: полностью соответствует – 75-100 % кадрового состава имеют профильное </w:t>
      </w:r>
      <w:r>
        <w:rPr>
          <w:color w:val="000000" w:themeColor="text1"/>
          <w:szCs w:val="28"/>
        </w:rPr>
        <w:t xml:space="preserve">базовое образование; частично соответствует - 50-75 % кадрового состава имеют профильное базовое образование;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количество публикаций высокого уровня (Q1-Q2, A*-A) за последние 5 лет (оценивается суммарное количество уникальных публикаций на весь кадровый состав программы) – более 5;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количество публикаций высокого уровня (Q1-Q2, A*-A) в области искусственного интеллекта за последние 5 лет (оценивается суммарное количество уникальных публикаций на весь кадровый состав программы) – более 5;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опыт работы в области искусственного интеллекта (оценивается процент преподавателей, трудоустроенных или имеющих опыт работы в коммерческих компаниях в области ИИ) – более 30%;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решение практических задач, выполнение разработок, проектов в области искусственного интеллекта за последние 5 лет (оценивается суммарное количество проектов, грантов, заказов на весь кадровый состав программы) – более 3.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Обеспеченность подготовки в области искусственного интеллекта компьютерными/вычислительными и техническими ресурсами оценивается по следующим показателям: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достаточность и</w:t>
      </w:r>
      <w:r>
        <w:rPr>
          <w:bCs/>
          <w:color w:val="000000" w:themeColor="text1"/>
          <w:szCs w:val="28"/>
        </w:rPr>
        <w:t xml:space="preserve">меющихся в вузе </w:t>
      </w:r>
      <w:r>
        <w:rPr>
          <w:bCs/>
          <w:color w:val="000000" w:themeColor="text1"/>
          <w:szCs w:val="28"/>
        </w:rPr>
        <w:t xml:space="preserve">компьютерных /вычислительных ресурсов для подготовки в области искусственного интеллекта (оценивается соответствие вычислительных ресурсов, доступных обучающимся и преподавателям, задачам подготовки по программе, а не наличие в вузе компьютерных классов); 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ind w:right="53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достаточность т</w:t>
      </w:r>
      <w:r>
        <w:rPr>
          <w:bCs/>
          <w:color w:val="000000" w:themeColor="text1"/>
          <w:szCs w:val="28"/>
        </w:rPr>
        <w:t xml:space="preserve">ехнического обеспечения для проведения прикладных экспериментов (оценивается оснащение специализированным оборудованием для проведения экспериментов в соответствии с задачами подготовки по программе).</w:t>
      </w:r>
      <w:r>
        <w:rPr>
          <w:bCs/>
          <w:color w:val="000000" w:themeColor="text1"/>
          <w:szCs w:val="28"/>
        </w:rPr>
      </w:r>
      <w:r>
        <w:rPr>
          <w:bCs/>
          <w:color w:val="000000" w:themeColor="text1"/>
          <w:szCs w:val="28"/>
        </w:rPr>
      </w:r>
    </w:p>
    <w:p>
      <w:pPr>
        <w:ind w:right="5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Соответствие формируемых компетенций у выпускников профессиональным стандартам, требования</w:t>
      </w:r>
      <w:r>
        <w:rPr>
          <w:color w:val="000000" w:themeColor="text1"/>
          <w:szCs w:val="28"/>
        </w:rPr>
        <w:t xml:space="preserve">м к профессиям в области искусственного интеллекта оценивается в соответствии с профессиональными стандартами (при наличии), с требованиями к профессиям в области искусственного интеллекта, установленными АИИ по полному перечню установленных компетенций. 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right="53" w:firstLine="0"/>
        <w:spacing w:after="113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360" w:right="53" w:firstLine="0"/>
        <w:rPr>
          <w:color w:val="000000" w:themeColor="text1"/>
        </w:rPr>
      </w:pPr>
      <w:r>
        <w:rPr>
          <w:color w:val="000000" w:themeColor="text1"/>
        </w:rPr>
        <w:br w:type="page" w:clear="all"/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5"/>
        <w:ind w:left="171" w:firstLine="0"/>
        <w:jc w:val="both"/>
        <w:rPr>
          <w:color w:val="000000" w:themeColor="text1"/>
        </w:rPr>
      </w:pPr>
      <w:r/>
      <w:bookmarkStart w:id="19" w:name="_Toc63250773"/>
      <w:r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 xml:space="preserve">1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Форма отчета эксперта по результатам аккредитационной экспертизы образовательной программы</w:t>
      </w:r>
      <w:bookmarkEnd w:id="19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75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720" w:right="51" w:firstLine="0"/>
        <w:jc w:val="center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10396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410"/>
        <w:gridCol w:w="1525"/>
        <w:gridCol w:w="1358"/>
      </w:tblGrid>
      <w:tr>
        <w:tblPrEx/>
        <w:trPr>
          <w:trHeight w:val="264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96" w:type="dxa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 Заключение эксперта об участии работодателей в проектировании, реализации и оценке результативности образовательной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работодателей в разработке образовательной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по балльной шкале, использованию каждой из форм присваивается один балл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Малое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(до 1 балла)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Среднее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2 до 4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Активное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5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Формы участия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Баллы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определение требований к качеству подготовки специалистов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экспертиза основных образовательных программ на предмет включения дополнительных компетенций с учетом мнения работодателя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разработка и (или) рецензирование учебных планов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разработка и (или) рецензирование программ учебных дисциплин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разработка различных видов практик (производственная практика, преддипломная практика и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т.д.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другое (указать)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44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работодателей в реализации образовательной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по балльной шкале, использованию каждой из форм присваивается один балл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Малое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(до 1 балла)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Среднее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2 до 4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Активное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5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Формы участия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Баллы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практическое обучение студентов на реальных рабочих местах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проведение специалистами-практиками (сотрудниками организаций-работодателей) - учебных занятий для студентов, в том числе лекционных курс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ов, семинаров, мастер-классов,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деловых игр, практикумов и др.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участие работодателей в научно-практических конференциях обучающихся, учебных проектах, научных сессиях, днях науки и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т.д.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предоставление работодателем учебных проектов для студентов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другое (указать)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33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работодателей в повышении качества кадрового потенциала вуза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по балльной шкале, использованию каждой из форм присваивается один балл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Малое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(до 1 балла)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Среднее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2 до 4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Активное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5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Формы участия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Баллы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стажировка преподавателей на реальных рабочих местах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повышение квалификации сотрудников работодателей в вузе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совместные научные исследования, разработки по заказу работодателя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создание и работа базовых кафедр и базовых лабораторий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совместное создание малых инновационных предприятий (МИП)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другое (указать)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25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работодателей в формировании тематики выпускных (дипломных) работ и трудоустройстве выпускников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доля студентов, готовящих ВКР по теме работодателя и (или) выпускников, трудоустроенных работодателем, от общего количества студентов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Малое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&lt; 10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Среднее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10-30 %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Активное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&gt;30 %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Формы участия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Проценты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формирование направлений, тем ВКР, в том числе с требованиями к результату;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трудоустройство выпус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ников у работодателей-партнёров, доля от всех выпускников программы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другое (указать)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shd w:val="clear" w:color="auto" w:fill="auto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Участие работодателей в принятии решений, управлении образовательной программой и оценке её результативности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по балльной шкале,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использованию каждой из форм присваивается один балл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(0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Среднее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(1-2 балла)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83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Активное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(от 3 баллов)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Формы участия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Баллы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11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денежные вложения (стипендии, гранты, оплата целевых мест)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участие представителей работодателей в принятии решений по развитию образовательной программы (советы образовательных программ и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т.п.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участие представителей работодателей в итоговой государственной аттестации выпускников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0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000000" w:fill="auto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061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другое (указать)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8" w:type="dxa"/>
            <w:vAlign w:val="center"/>
            <w:textDirection w:val="lrTb"/>
            <w:noWrap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Комментарии эксперта по участию работодателей в формировании компетенций выпускников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4"/>
            <w:shd w:val="clear" w:color="d9d9d9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9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 Заключение эксперта о кадровом составе вуза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tbl>
      <w:tblPr>
        <w:tblW w:w="10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1276"/>
        <w:gridCol w:w="1276"/>
      </w:tblGrid>
      <w:tr>
        <w:tblPrEx/>
        <w:trPr>
          <w:trHeight w:val="1738"/>
        </w:trPr>
        <w:tc>
          <w:tcPr>
            <w:shd w:val="clear" w:color="auto" w:fill="auto"/>
            <w:tcW w:w="6374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Образование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Профильное базовое образование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- по укрупнённым группам "Математика и механика", "Компьютерные и информационные науки", "Физика и астрономия", "Химия", "Информатика и выч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и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слительная техника" направлению подготовки "Биоинженерия и биоинформатика" либо аналогичным по соответствующим классификаторам на момент выпуска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Полностью соответствует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- 75-100 % кадрового состава имеют профильное базовое образование;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Частично соответствует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- 50-75 % кадрового состава имеют профильное базовое образование.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 соответствует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1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Частично соответствует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Полностью соответствует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831"/>
        </w:trPr>
        <w:tc>
          <w:tcPr>
            <w:shd w:val="clear" w:color="auto" w:fill="auto"/>
            <w:tcW w:w="6374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Количество публикаций высокого уровня (Q1-Q2, A*-A)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за последние 5 лет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суммарное количество уникальных публикаций на весь кадровый состав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Нет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Средняя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 1-5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Высокая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&gt;5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842"/>
        </w:trPr>
        <w:tc>
          <w:tcPr>
            <w:shd w:val="clear" w:color="auto" w:fill="auto"/>
            <w:tcW w:w="6374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Количество публикаций высокого уровня (Q1-Q2, A*-A)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в области искусственного интеллекта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 последние 5 лет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суммарное количество уникальных публикаций на весь кадровый состав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Нет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(0)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Средний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(1-5)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Высокий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(&gt; 5)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759"/>
        </w:trPr>
        <w:tc>
          <w:tcPr>
            <w:shd w:val="clear" w:color="auto" w:fill="auto"/>
            <w:tcW w:w="6374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Опыт работы в области искусственного интеллекта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процент преподавателей, трудоустроенных или имеющих опыт работы в коммерческих компаниях в области ИИ.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Нет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(&lt;10%)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Средний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(10-30%)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Высокий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(&gt; 30%)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W w:w="6374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Решение практических задач, выполнение разработок, проектов в области искусственного интеллекта за последние 5 лет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суммарное количество проектов, грантов, заказов на весь кадровый состав программы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Нет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(0)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Средний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(1-3)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Высокий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 xml:space="preserve">(&gt; 3)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1221"/>
        </w:trPr>
        <w:tc>
          <w:tcPr>
            <w:shd w:val="clear" w:color="auto" w:fill="auto"/>
            <w:tcW w:w="6374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Комментарии эксперта по кадровому составу вуза (если есть)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shd w:val="clear" w:color="cccccc" w:fill="cccccc"/>
            <w:tcW w:w="3828" w:type="dxa"/>
            <w:vAlign w:val="bottom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right="51" w:firstLine="0"/>
        <w:spacing w:after="113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</w:p>
    <w:p>
      <w:pPr>
        <w:ind w:right="51" w:firstLine="0"/>
        <w:spacing w:after="113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3. Заключение эксперта о ресурсном обеспечении подготовки по образовательной программе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2835"/>
      </w:tblGrid>
      <w:tr>
        <w:tblPrEx/>
        <w:trPr>
          <w:trHeight w:val="11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Имеющиеся в вузе компьютерные/вычислительные ресурсов для подготовки в области искусственного интеллекта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Оценивается соответствие вычислительных ресурсов, доступных обучающимся и преподавателям, задачам подготовки по программе, а не наличие в вузе компьютерных классов.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Достаточны/недостаточны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1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Техническое обеспечение для проведения прикладных экспериментов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Оце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нивается оснащение специализированным оборудованием для проведения экспериментов (например, если присутствует дисциплина по разработке алгоритмов движения для беспилотников - есть ли и если да, то какие беспилотники в наличии для проведения экспериментов).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/>
          </w:tcPr>
          <w:p>
            <w:pPr>
              <w:ind w:right="0" w:firstLine="0"/>
              <w:jc w:val="center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Достаточно/недостаточно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9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13" w:type="dxa"/>
            <w:vAlign w:val="center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Комментарии эксперта по ресурсному обеспечению (если есть)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cccccc" w:fill="cccccc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ind w:right="0" w:firstLine="0"/>
              <w:jc w:val="left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 w:firstLine="0"/>
        <w:spacing w:after="113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  <w:pBdr>
          <w:bottom w:val="single" w:color="000000" w:sz="12" w:space="1"/>
        </w:pBd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4.Комментарий эксперта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(насколько программа соответствует заявленным целям? что можно улучшить?) _________________________________________________________________________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</w:p>
    <w:p>
      <w:pPr>
        <w:ind w:right="51" w:firstLine="0"/>
        <w:spacing w:after="113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  <w:pBdr>
          <w:bottom w:val="single" w:color="000000" w:sz="12" w:space="1"/>
        </w:pBd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</w:r>
    </w:p>
    <w:tbl>
      <w:tblPr>
        <w:tblStyle w:val="984"/>
        <w:tblW w:w="0" w:type="auto"/>
        <w:tblInd w:w="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4"/>
        <w:gridCol w:w="216"/>
        <w:gridCol w:w="1"/>
        <w:gridCol w:w="1416"/>
        <w:gridCol w:w="1067"/>
        <w:gridCol w:w="4037"/>
        <w:gridCol w:w="358"/>
        <w:gridCol w:w="2619"/>
        <w:gridCol w:w="493"/>
        <w:gridCol w:w="216"/>
        <w:gridCol w:w="1417"/>
      </w:tblGrid>
      <w:tr>
        <w:tblPrEx/>
        <w:trPr>
          <w:trHeight w:val="264"/>
        </w:trPr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331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5.Заключение эксперта о формировании у выпускников образовательной программы 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   компетенций по базовым тематикам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792"/>
        </w:trPr>
        <w:tc>
          <w:tcPr>
            <w:gridSpan w:val="4"/>
            <w:shd w:val="clear" w:color="d9d9d9" w:fill="d9d9d9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center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d9d9d9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Наименования разделов и тематик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d9d9d9" w:fill="d9d9d9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Программа обеспечивает формирование компетенции </w:t>
            </w:r>
            <w:r>
              <w:rPr>
                <w:rFonts w:ascii="Arial" w:hAnsi="Arial" w:eastAsia="Arial" w:cs="Arial"/>
                <w:b/>
                <w:color w:val="000000"/>
                <w:sz w:val="16"/>
              </w:rPr>
              <w:t xml:space="preserve">(отметить строки)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525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8eaadb" w:fill="8eaadb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8eaadb" w:fill="8eaadb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Общие компетенции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8eaadb" w:fill="8eaadb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Определения, история развития и главные тренды 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Процесс, стадии и методологии разработки решений на основе ИИ (Docker, Linux/Bash, Git)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1.3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Статистические методы и первичный анализ данных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1.4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Промпт- инжиниринг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Инструменты CitizenDS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1.7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Языки программирования и библиотеки (Python, С++)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1.6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Оценка качества работы методов 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1.8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Этика 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1.9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Безопасность ИИ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1.10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Цифровые двойники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8eaadb" w:fill="8eaadb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8eaadb" w:fill="8eaadb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Алгоритмы и методы 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8eaadb" w:fill="8eaadb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Методы машинного обучения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Методы оптимизации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Информационный поиск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Рекомендательные системы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Анализ изображений и видео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Анализ естественного языка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Основы глубокого обучения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2.8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Глубокое обучение для анализа и генерации изображений, видео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2.9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Глубокое обучение для анализа и генерации  естественного языка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2.10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Обучение с подкреплением и глубокое обучение с подкреплением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2.11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Гибридные модели и PIML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2.12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Анализ геоданных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Массово параллельные вычисления для ускорения машинного обучения (GPU)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2.14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Работа с распределенной кластерной системой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Машинное обучение на больших данных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2.16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Потоковая обработка данных (data streaming, event processing)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2.17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Графовые нейросети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8eaadb" w:fill="8eaadb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8eaadb" w:fill="8eaadb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Работа с данными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8eaadb" w:fill="8eaadb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SQL базы данных (GreenPlum, Postgres, Oracle)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NoSQL базы данных (Cassandra, MongoDB, ElasticSearch, Neo4J, Hbase)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Массово параллельная обработка и анализ данных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3.4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Hadoop, SPARK, Hive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3.5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Шины данных (kafka)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Качество и предобработка данных, подходы и инструменты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  <w:tr>
        <w:tblPrEx/>
        <w:trPr>
          <w:trHeight w:val="264"/>
        </w:trPr>
        <w:tc>
          <w:tcPr>
            <w:gridSpan w:val="4"/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9" w:type="dxa"/>
            <w:vAlign w:val="bottom"/>
            <w:textDirection w:val="lrTb"/>
            <w:noWrap/>
          </w:tcPr>
          <w:p>
            <w:pPr>
              <w:ind w:left="0" w:right="0" w:firstLine="0"/>
              <w:jc w:val="right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3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520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Графы знаний и онтологии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6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bottom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ind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0" w:right="0" w:firstLine="567"/>
        <w:spacing w:before="0" w:after="0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Сформированная совокупность компетенций соответствует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</w:p>
    <w:p>
      <w:pPr>
        <w:ind w:right="51"/>
        <w:spacing w:after="113" w:line="240" w:lineRule="auto"/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профессии (профессиям) в области ИИ:</w:t>
      </w:r>
      <w:r>
        <w:rPr>
          <w:sz w:val="26"/>
          <w:szCs w:val="26"/>
        </w:rPr>
        <w:t xml:space="preserve">_________________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51"/>
        <w:spacing w:after="113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51"/>
        <w:spacing w:after="113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  <w:highlight w:val="none"/>
        </w:rPr>
      </w:pPr>
      <w:r>
        <w:rPr>
          <w:color w:val="000000" w:themeColor="text1"/>
          <w:sz w:val="26"/>
          <w:szCs w:val="26"/>
        </w:rPr>
        <w:t xml:space="preserve">Общая характеристика образовательной программы_________________ </w:t>
      </w: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  <w:highlight w:val="none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___________________________________________________________________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___________________________________________________________________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Основные положительные моменты образовательной программы: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___________________________________________________________________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___________________________________________________________________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Итоговое заключение эксперта по образовательной программе: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______________________________________________________________________________________________________________________________________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left="720" w:right="51" w:firstLine="0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975"/>
        <w:rPr>
          <w:color w:val="000000" w:themeColor="text1"/>
        </w:rPr>
      </w:pPr>
      <w:r>
        <w:rPr>
          <w:color w:val="000000" w:themeColor="text1"/>
        </w:rPr>
        <w:br w:type="page" w:clear="all"/>
      </w:r>
      <w:bookmarkStart w:id="20" w:name="_Toc63250774"/>
      <w:r>
        <w:rPr>
          <w:color w:val="000000" w:themeColor="text1"/>
        </w:rPr>
        <w:t xml:space="preserve">Приложение 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Рекомендуемая </w:t>
      </w:r>
      <w:r>
        <w:rPr>
          <w:color w:val="000000" w:themeColor="text1"/>
        </w:rPr>
        <w:t xml:space="preserve">структура итогового отчета по результатам аккредитационной экспертизы образовательной программы</w:t>
      </w:r>
      <w:bookmarkEnd w:id="20"/>
      <w:r>
        <w:rPr>
          <w:color w:val="000000" w:themeColor="text1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Общая характеристика образовательной организации, представившей образовательную программу на аккредитационную экспертизу.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Общая характеристика представленной на аккредитационную экспертизу образовательной программы.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об экспертах, проводивших аккредитационную экспертизу образовательной программы.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Сводная информация о соответствии представленной на аккредитационную экспертизу образовательной программы установленным настоящим Порядком критериям ПОА. 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Основные положительные моменты (сильные стороны) аккредитуемой образовательной программы (при их наличии).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Рекомендации экспертной комиссии по повышению качества образовательной программы (области, требующие улучшения) (при их наличии).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5"/>
        </w:numPr>
        <w:ind w:right="51"/>
        <w:spacing w:after="113" w:line="240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Заключение по аккредитуемой образовательной программе, включающее: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6"/>
        </w:numPr>
        <w:ind w:right="0"/>
        <w:jc w:val="left"/>
        <w:spacing w:after="160" w:line="259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заключение экспертной комиссии о соответствии аккредитуемой образовательной программы заявленным на аккредитационную экспертизу профессиональным стандартам в области искусственного интеллекта и критериям ПОА; 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numPr>
          <w:ilvl w:val="0"/>
          <w:numId w:val="16"/>
        </w:numPr>
        <w:ind w:right="0"/>
        <w:jc w:val="left"/>
        <w:spacing w:after="160" w:line="259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рекомендацию для аккредитующей организации для принятия решения о выдаче (отказе в выдаче) свидетельства о профессионально-общественной аккредитации образовательной программы.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ind w:right="0" w:firstLine="0"/>
        <w:jc w:val="left"/>
        <w:spacing w:after="160" w:line="259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tabs>
          <w:tab w:val="left" w:pos="3444" w:leader="none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sectPr>
      <w:headerReference w:type="default" r:id="rId9"/>
      <w:footerReference w:type="default" r:id="rId10"/>
      <w:footerReference w:type="even" r:id="rId11"/>
      <w:footerReference w:type="first" r:id="rId12"/>
      <w:footnotePr/>
      <w:endnotePr/>
      <w:type w:val="nextPage"/>
      <w:pgSz w:w="11900" w:h="16840" w:orient="portrait"/>
      <w:pgMar w:top="825" w:right="1268" w:bottom="597" w:left="1133" w:header="720" w:footer="720" w:gutter="0"/>
      <w:cols w:num="1" w:sep="0" w:space="72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Александр Цыпнятов" w:date="2024-08-30T14:00:18Z" w:initials="АЦ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Документ утрачивает силу с 1 сентября 2024 года в связи с изданием Приказа Рособрнадзора от 04.08.2023 № 1493, утвердившего новые требования.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Ссылка на Приказ Рособрнадзора от 04.08.2023 № 1493: https://dsm.consultant.ru/cgi/online.cgi?req=doc&amp;rnd=BIJJmg&amp;base=LAW&amp;n=463082&amp;dst=100015&amp;field=134#yrhlvMUeQ1bBSMGM2</w:t>
      </w:r>
    </w:p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предыдущем примечании вы найдете рекомендованную редакцию данного положения.</w:t>
      </w:r>
    </w:p>
  </w:comment>
  <w:comment w:id="9" w:author="AI Alliance" w:date="2024-09-04T13:52:22Z" w:initials="AA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 Изменено</w:t>
      </w:r>
    </w:p>
  </w:comment>
  <w:comment w:id="6" w:author="Александр Цыпнятов" w:date="2024-08-30T13:58:46Z" w:initials="АЦ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Документ утратил силу. </w:t>
      </w:r>
    </w:p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Действует новое Постановление Правительства от 20.10.2021 № 1802, утвердившее новые правила.</w:t>
      </w:r>
    </w:p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B" w14:textId="0000000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Ссылка на новое Постановление от 20.10.2021 № 1802: https://dsm.consultant.ru/cgi/online.cgi?req=doc&amp;base=LAW&amp;n=458511&amp;cacheid=820CBFFD6C1E63FFBFB5D4261BDB5A91&amp;mode=splus&amp;rnd=BIJJmg#G3DmvMUpkZ9HGSrZ</w:t>
      </w:r>
    </w:p>
    <w:p w14:paraId="0000000C" w14:textId="0000000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D" w14:textId="0000000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Рекомендуем изложить данное положение в следующей редакции:</w:t>
      </w:r>
    </w:p>
    <w:p w14:paraId="0000000E" w14:textId="0000000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0F" w14:textId="0000000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«Дополнительным источником информации для работы эксперта может являться сайт организации, осуществляющий образовательную деятельность, содержащий информацию в соответствии с постановлением Правительства Российской Федерации от 20.10.2021 N 1802 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а также о признании утратившими силу некоторых актов и отдельных положений некоторых актов Правительства Российской Федерации» и Приказом Рособрнадзора от 04.08.2023 N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</w:comment>
  <w:comment w:id="7" w:author="AI Alliance" w:date="2024-09-04T13:49:02Z" w:initials="AA">
    <w:p w14:paraId="00000010" w14:textId="0000001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 Принято</w:t>
      </w:r>
    </w:p>
  </w:comment>
  <w:comment w:id="4" w:author="Александр Цыпнятов" w:date="2024-08-30T13:41:12Z" w:initials="АЦ">
    <w:p w14:paraId="00000011" w14:textId="0000001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Корректнее заменить на следующее: "подготовка кадров высшей квалификации", так как среди уровней высшего образования выделяются бакалавриат, специалитет, магистратура, подготовка кадров высшей квалификации (п. 5 ст. 10 ФЗ от 29.12.2012 N 273-ФЗ).</w:t>
      </w:r>
    </w:p>
    <w:p w14:paraId="00000012" w14:textId="0000001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3" w14:textId="0000001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В дальнейшем планируется ввести следующие уровни образования: </w:t>
      </w:r>
    </w:p>
    <w:p w14:paraId="00000014" w14:textId="0000001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5" w14:textId="0000001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1) базовый (основной) уровень;</w:t>
      </w:r>
    </w:p>
    <w:p w14:paraId="00000016" w14:textId="0000001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2) специализированное высшее; обучение, для закончивших базовый уровень;</w:t>
      </w:r>
    </w:p>
    <w:p w14:paraId="00000017" w14:textId="0000001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3) аспирантура - она будет выделена в отлельный уровень образования. </w:t>
      </w:r>
    </w:p>
    <w:p w14:paraId="00000018" w14:textId="0000001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9" w14:textId="0000001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На данный момент поправки в законодательстве не приняты. Данная информация известна из доклада главы Минобрнауки. https://ria.ru/20230419/obrazovanie-1866291666.html</w:t>
      </w:r>
    </w:p>
  </w:comment>
  <w:comment w:id="5" w:author="AI Alliance" w:date="2024-09-04T13:48:13Z" w:initials="AA">
    <w:p w14:paraId="0000001A" w14:textId="0000001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- Обратиться ИМГ</w:t>
      </w:r>
    </w:p>
  </w:comment>
  <w:comment w:id="2" w:author="Александр Цыпнятов" w:date="2024-08-30T14:04:50Z" w:initials="АЦ">
    <w:p w14:paraId="0000001B" w14:textId="0000001B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Требования данного Регламента действуют, их применение корректно.</w:t>
      </w:r>
    </w:p>
    <w:p w14:paraId="0000001C" w14:textId="0000001C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/>
      </w:r>
    </w:p>
    <w:p w14:paraId="0000001D" w14:textId="0000001D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Было внесено лишь одно изменение в ст. 26 Регламента от 12.02.2021, однако это не влияет на редакцию данного пункта.</w:t>
      </w:r>
    </w:p>
  </w:comment>
  <w:comment w:id="3" w:author="AI Alliance" w:date="2024-09-04T13:52:40Z" w:initials="AA">
    <w:p w14:paraId="0000001E" w14:textId="0000001E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 Без изменений</w:t>
      </w:r>
    </w:p>
  </w:comment>
  <w:comment w:id="0" w:author="Александр Цыпнятов" w:date="2024-08-30T13:40:43Z" w:initials="АЦ">
    <w:p w14:paraId="0000001F" w14:textId="0000001F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Статья в действующей редакции, ее применение корректно.</w:t>
      </w:r>
    </w:p>
  </w:comment>
  <w:comment w:id="1" w:author="AI Alliance" w:date="2024-09-04T13:47:53Z" w:initials="AA">
    <w:p w14:paraId="00000020" w14:textId="00000020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+ Без изменений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I Alliance" w:date="2024-08-08T16:04:20Z" w:initials="AA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стр.3 к юристам</w:t>
      </w:r>
    </w:p>
  </w:comment>
  <w:comment w:id="1" w:author="AI Alliance" w:date="2024-08-08T16:05:21Z" w:initials="AA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стр.5, п2 Аспирантура?</w:t>
      </w:r>
    </w:p>
  </w:comment>
  <w:comment w:id="2" w:author="AI Alliance" w:date="2024-08-08T16:21:56Z" w:initials="AA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стр15, п6.1 юристы</w:t>
      </w:r>
    </w:p>
  </w:comment>
  <w:comment w:id="3" w:author="AI Alliance" w:date="2024-08-08T16:38:34Z" w:initials="AA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стр 39 5 таблица отредактировать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5" w15:done="0"/>
  <w15:commentEx w15:paraId="00000006" w15:paraIdParent="00000005" w15:done="0"/>
  <w15:commentEx w15:paraId="0000000F" w15:done="0"/>
  <w15:commentEx w15:paraId="00000010" w15:paraIdParent="0000000F" w15:done="0"/>
  <w15:commentEx w15:paraId="00000019" w15:done="0"/>
  <w15:commentEx w15:paraId="0000001A" w15:paraIdParent="00000019" w15:done="0"/>
  <w15:commentEx w15:paraId="0000001D" w15:done="0"/>
  <w15:commentEx w15:paraId="0000001E" w15:paraIdParent="0000001D" w15:done="0"/>
  <w15:commentEx w15:paraId="0000001F" w15:done="0"/>
  <w15:commentEx w15:paraId="00000020" w15:paraIdParent="0000001F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37ECE6F" w16cex:dateUtc="2024-08-30T11:00:18Z"/>
  <w16cex:commentExtensible w16cex:durableId="57CE3011" w16cex:dateUtc="2024-09-04T10:52:22Z"/>
  <w16cex:commentExtensible w16cex:durableId="521B3B88" w16cex:dateUtc="2024-08-30T10:58:46Z"/>
  <w16cex:commentExtensible w16cex:durableId="169F845D" w16cex:dateUtc="2024-09-04T10:49:02Z"/>
  <w16cex:commentExtensible w16cex:durableId="0681AB6E" w16cex:dateUtc="2024-08-30T10:41:12Z"/>
  <w16cex:commentExtensible w16cex:durableId="41D8C637" w16cex:dateUtc="2024-09-04T10:48:13Z"/>
  <w16cex:commentExtensible w16cex:durableId="6BEC4913" w16cex:dateUtc="2024-08-30T11:04:50Z"/>
  <w16cex:commentExtensible w16cex:durableId="2F43A214" w16cex:dateUtc="2024-09-04T10:52:40Z"/>
  <w16cex:commentExtensible w16cex:durableId="10BE3660" w16cex:dateUtc="2024-08-30T10:40:43Z"/>
  <w16cex:commentExtensible w16cex:durableId="3A51F192" w16cex:dateUtc="2024-09-04T10:47:53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6DC567" w16cex:dateUtc="2024-08-08T13:04:20Z"/>
  <w16cex:commentExtensible w16cex:durableId="3D684D55" w16cex:dateUtc="2024-08-08T13:05:21Z"/>
  <w16cex:commentExtensible w16cex:durableId="5D2FDD82" w16cex:dateUtc="2024-08-08T13:21:56Z"/>
  <w16cex:commentExtensible w16cex:durableId="7C993039" w16cex:dateUtc="2024-08-08T13:38: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5" w16cid:durableId="637ECE6F"/>
  <w16cid:commentId w16cid:paraId="00000006" w16cid:durableId="57CE3011"/>
  <w16cid:commentId w16cid:paraId="0000000F" w16cid:durableId="521B3B88"/>
  <w16cid:commentId w16cid:paraId="00000010" w16cid:durableId="169F845D"/>
  <w16cid:commentId w16cid:paraId="00000019" w16cid:durableId="0681AB6E"/>
  <w16cid:commentId w16cid:paraId="0000001A" w16cid:durableId="41D8C637"/>
  <w16cid:commentId w16cid:paraId="0000001D" w16cid:durableId="6BEC4913"/>
  <w16cid:commentId w16cid:paraId="0000001E" w16cid:durableId="2F43A214"/>
  <w16cid:commentId w16cid:paraId="0000001F" w16cid:durableId="10BE3660"/>
  <w16cid:commentId w16cid:paraId="00000020" w16cid:durableId="3A51F192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16DC567"/>
  <w16cid:commentId w16cid:paraId="00000002" w16cid:durableId="3D684D55"/>
  <w16cid:commentId w16cid:paraId="00000003" w16cid:durableId="5D2FDD82"/>
  <w16cid:commentId w16cid:paraId="00000004" w16cid:durableId="7C9930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right"/>
      <w:spacing w:after="0" w:line="259" w:lineRule="auto"/>
    </w:pPr>
    <w:r/>
    <w:r/>
  </w:p>
  <w:p>
    <w:pPr>
      <w:ind w:right="0" w:firstLine="0"/>
      <w:jc w:val="left"/>
      <w:spacing w:after="0" w:line="259" w:lineRule="auto"/>
    </w:pPr>
    <w:r>
      <w:rPr>
        <w:rFonts w:ascii="Arial Unicode MS" w:hAnsi="Arial Unicode MS" w:eastAsia="Arial Unicode MS" w:cs="Arial Unicode MS"/>
        <w:sz w:val="2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jc w:val="right"/>
      <w:spacing w:after="0" w:line="259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rFonts w:ascii="Arial Unicode MS" w:hAnsi="Arial Unicode MS" w:eastAsia="Arial Unicode MS" w:cs="Arial Unicode MS"/>
        <w:sz w:val="24"/>
      </w:rPr>
      <w:t xml:space="preserve"> </w:t>
    </w:r>
    <w:r/>
  </w:p>
  <w:p>
    <w:pPr>
      <w:ind w:right="0" w:firstLine="0"/>
      <w:jc w:val="left"/>
      <w:spacing w:after="0" w:line="259" w:lineRule="auto"/>
    </w:pPr>
    <w:r>
      <w:rPr>
        <w:rFonts w:ascii="Arial Unicode MS" w:hAnsi="Arial Unicode MS" w:eastAsia="Arial Unicode MS" w:cs="Arial Unicode MS"/>
        <w:sz w:val="2"/>
      </w:rPr>
      <w:t xml:space="preserve"> 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0" w:firstLine="0"/>
      <w:jc w:val="left"/>
      <w:spacing w:after="160" w:line="259" w:lineRule="auto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ind w:right="0" w:firstLine="0"/>
        <w:spacing w:after="0" w:line="288" w:lineRule="auto"/>
      </w:pPr>
      <w:r>
        <w:separator/>
      </w:r>
      <w:r/>
    </w:p>
  </w:footnote>
  <w:footnote w:type="continuationSeparator" w:id="0">
    <w:p>
      <w:pPr>
        <w:ind w:right="0" w:firstLine="0"/>
        <w:spacing w:after="0" w:line="288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7863305"/>
      <w:docPartObj>
        <w:docPartGallery w:val="Page Numbers (Top of Page)"/>
        <w:docPartUnique w:val="true"/>
      </w:docPartObj>
      <w:rPr/>
    </w:sdtPr>
    <w:sdtContent>
      <w:p>
        <w:pPr>
          <w:pStyle w:val="99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9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50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933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7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941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445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49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453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29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49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85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9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93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97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01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77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0"/>
      </w:pPr>
      <w:rPr>
        <w:rFonts w:hint="default" w:ascii="Wingdings" w:hAnsi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bullet"/>
      <w:isLgl w:val="false"/>
      <w:suff w:val="tab"/>
      <w:lvlText w:val=""/>
      <w:lvlJc w:val="left"/>
      <w:pPr>
        <w:ind w:left="1141" w:hanging="432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349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85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789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93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97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01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77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0"/>
      </w:pPr>
      <w:rPr>
        <w:rFonts w:hint="default" w:ascii="Wingdings" w:hAnsi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0"/>
      </w:pPr>
      <w:rPr>
        <w:rFonts w:hint="default" w:ascii="Wingdings" w:hAnsi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0"/>
      </w:pPr>
      <w:rPr>
        <w:rFonts w:hint="default" w:ascii="Wingdings" w:hAnsi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0"/>
      </w:pPr>
      <w:rPr>
        <w:rFonts w:hint="default" w:ascii="Wingdings" w:hAnsi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Arial" w:hAnsi="Arial" w:eastAsia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9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5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9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1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3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7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4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8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3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0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7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9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4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9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9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81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53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7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0"/>
      </w:pPr>
      <w:rPr>
        <w:rFonts w:hint="default" w:ascii="Wingdings" w:hAnsi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72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41"/>
  </w:num>
  <w:num w:numId="3">
    <w:abstractNumId w:val="25"/>
  </w:num>
  <w:num w:numId="4">
    <w:abstractNumId w:val="23"/>
  </w:num>
  <w:num w:numId="5">
    <w:abstractNumId w:val="24"/>
  </w:num>
  <w:num w:numId="6">
    <w:abstractNumId w:val="22"/>
  </w:num>
  <w:num w:numId="7">
    <w:abstractNumId w:val="13"/>
  </w:num>
  <w:num w:numId="8">
    <w:abstractNumId w:val="2"/>
  </w:num>
  <w:num w:numId="9">
    <w:abstractNumId w:val="39"/>
  </w:num>
  <w:num w:numId="10">
    <w:abstractNumId w:val="40"/>
  </w:num>
  <w:num w:numId="11">
    <w:abstractNumId w:val="16"/>
  </w:num>
  <w:num w:numId="12">
    <w:abstractNumId w:val="33"/>
  </w:num>
  <w:num w:numId="13">
    <w:abstractNumId w:val="1"/>
  </w:num>
  <w:num w:numId="14">
    <w:abstractNumId w:val="38"/>
  </w:num>
  <w:num w:numId="15">
    <w:abstractNumId w:val="37"/>
  </w:num>
  <w:num w:numId="16">
    <w:abstractNumId w:val="28"/>
  </w:num>
  <w:num w:numId="17">
    <w:abstractNumId w:val="14"/>
  </w:num>
  <w:num w:numId="18">
    <w:abstractNumId w:val="26"/>
  </w:num>
  <w:num w:numId="19">
    <w:abstractNumId w:val="29"/>
  </w:num>
  <w:num w:numId="20">
    <w:abstractNumId w:val="5"/>
  </w:num>
  <w:num w:numId="21">
    <w:abstractNumId w:val="0"/>
  </w:num>
  <w:num w:numId="22">
    <w:abstractNumId w:val="27"/>
  </w:num>
  <w:num w:numId="23">
    <w:abstractNumId w:val="10"/>
  </w:num>
  <w:num w:numId="24">
    <w:abstractNumId w:val="3"/>
  </w:num>
  <w:num w:numId="25">
    <w:abstractNumId w:val="42"/>
  </w:num>
  <w:num w:numId="26">
    <w:abstractNumId w:val="21"/>
  </w:num>
  <w:num w:numId="27">
    <w:abstractNumId w:val="17"/>
  </w:num>
  <w:num w:numId="28">
    <w:abstractNumId w:val="36"/>
  </w:num>
  <w:num w:numId="29">
    <w:abstractNumId w:val="31"/>
  </w:num>
  <w:num w:numId="30">
    <w:abstractNumId w:val="6"/>
  </w:num>
  <w:num w:numId="31">
    <w:abstractNumId w:val="32"/>
  </w:num>
  <w:num w:numId="32">
    <w:abstractNumId w:val="34"/>
  </w:num>
  <w:num w:numId="33">
    <w:abstractNumId w:val="11"/>
  </w:num>
  <w:num w:numId="34">
    <w:abstractNumId w:val="4"/>
  </w:num>
  <w:num w:numId="35">
    <w:abstractNumId w:val="35"/>
  </w:num>
  <w:num w:numId="36">
    <w:abstractNumId w:val="12"/>
  </w:num>
  <w:num w:numId="37">
    <w:abstractNumId w:val="15"/>
  </w:num>
  <w:num w:numId="38">
    <w:abstractNumId w:val="18"/>
  </w:num>
  <w:num w:numId="39">
    <w:abstractNumId w:val="20"/>
  </w:num>
  <w:num w:numId="40">
    <w:abstractNumId w:val="7"/>
  </w:num>
  <w:num w:numId="41">
    <w:abstractNumId w:val="9"/>
  </w:num>
  <w:num w:numId="42">
    <w:abstractNumId w:val="19"/>
  </w:num>
  <w:num w:numId="43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 Alliance">
    <w15:presenceInfo w15:providerId="Teamlab" w15:userId="1130000064668922"/>
  </w15:person>
  <w15:person w15:author="Александр Цыпнятов">
    <w15:presenceInfo w15:providerId="Teamlab" w15:userId="1130000058291183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 Alliance">
    <w15:presenceInfo w15:providerId="Teamlab" w15:userId="1130000064668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7">
    <w:name w:val="Heading 1 Char"/>
    <w:basedOn w:val="977"/>
    <w:link w:val="975"/>
    <w:uiPriority w:val="9"/>
    <w:rPr>
      <w:rFonts w:ascii="Arial" w:hAnsi="Arial" w:eastAsia="Arial" w:cs="Arial"/>
      <w:sz w:val="40"/>
      <w:szCs w:val="40"/>
    </w:rPr>
  </w:style>
  <w:style w:type="character" w:styleId="808">
    <w:name w:val="Heading 2 Char"/>
    <w:basedOn w:val="977"/>
    <w:link w:val="976"/>
    <w:uiPriority w:val="9"/>
    <w:rPr>
      <w:rFonts w:ascii="Arial" w:hAnsi="Arial" w:eastAsia="Arial" w:cs="Arial"/>
      <w:sz w:val="34"/>
    </w:rPr>
  </w:style>
  <w:style w:type="paragraph" w:styleId="809">
    <w:name w:val="Heading 3"/>
    <w:basedOn w:val="974"/>
    <w:next w:val="974"/>
    <w:link w:val="8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0">
    <w:name w:val="Heading 3 Char"/>
    <w:basedOn w:val="977"/>
    <w:link w:val="809"/>
    <w:uiPriority w:val="9"/>
    <w:rPr>
      <w:rFonts w:ascii="Arial" w:hAnsi="Arial" w:eastAsia="Arial" w:cs="Arial"/>
      <w:sz w:val="30"/>
      <w:szCs w:val="30"/>
    </w:rPr>
  </w:style>
  <w:style w:type="paragraph" w:styleId="811">
    <w:name w:val="Heading 4"/>
    <w:basedOn w:val="974"/>
    <w:next w:val="974"/>
    <w:link w:val="8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2">
    <w:name w:val="Heading 4 Char"/>
    <w:basedOn w:val="977"/>
    <w:link w:val="811"/>
    <w:uiPriority w:val="9"/>
    <w:rPr>
      <w:rFonts w:ascii="Arial" w:hAnsi="Arial" w:eastAsia="Arial" w:cs="Arial"/>
      <w:b/>
      <w:bCs/>
      <w:sz w:val="26"/>
      <w:szCs w:val="26"/>
    </w:rPr>
  </w:style>
  <w:style w:type="paragraph" w:styleId="813">
    <w:name w:val="Heading 5"/>
    <w:basedOn w:val="974"/>
    <w:next w:val="974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4">
    <w:name w:val="Heading 5 Char"/>
    <w:basedOn w:val="977"/>
    <w:link w:val="813"/>
    <w:uiPriority w:val="9"/>
    <w:rPr>
      <w:rFonts w:ascii="Arial" w:hAnsi="Arial" w:eastAsia="Arial" w:cs="Arial"/>
      <w:b/>
      <w:bCs/>
      <w:sz w:val="24"/>
      <w:szCs w:val="24"/>
    </w:rPr>
  </w:style>
  <w:style w:type="paragraph" w:styleId="815">
    <w:name w:val="Heading 6"/>
    <w:basedOn w:val="974"/>
    <w:next w:val="974"/>
    <w:link w:val="8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6">
    <w:name w:val="Heading 6 Char"/>
    <w:basedOn w:val="977"/>
    <w:link w:val="815"/>
    <w:uiPriority w:val="9"/>
    <w:rPr>
      <w:rFonts w:ascii="Arial" w:hAnsi="Arial" w:eastAsia="Arial" w:cs="Arial"/>
      <w:b/>
      <w:bCs/>
      <w:sz w:val="22"/>
      <w:szCs w:val="22"/>
    </w:rPr>
  </w:style>
  <w:style w:type="paragraph" w:styleId="817">
    <w:name w:val="Heading 7"/>
    <w:basedOn w:val="974"/>
    <w:next w:val="974"/>
    <w:link w:val="8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8">
    <w:name w:val="Heading 7 Char"/>
    <w:basedOn w:val="977"/>
    <w:link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974"/>
    <w:next w:val="974"/>
    <w:link w:val="8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0">
    <w:name w:val="Heading 8 Char"/>
    <w:basedOn w:val="977"/>
    <w:link w:val="819"/>
    <w:uiPriority w:val="9"/>
    <w:rPr>
      <w:rFonts w:ascii="Arial" w:hAnsi="Arial" w:eastAsia="Arial" w:cs="Arial"/>
      <w:i/>
      <w:iCs/>
      <w:sz w:val="22"/>
      <w:szCs w:val="22"/>
    </w:rPr>
  </w:style>
  <w:style w:type="paragraph" w:styleId="821">
    <w:name w:val="Heading 9"/>
    <w:basedOn w:val="974"/>
    <w:next w:val="974"/>
    <w:link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2">
    <w:name w:val="Heading 9 Char"/>
    <w:basedOn w:val="977"/>
    <w:link w:val="821"/>
    <w:uiPriority w:val="9"/>
    <w:rPr>
      <w:rFonts w:ascii="Arial" w:hAnsi="Arial" w:eastAsia="Arial" w:cs="Arial"/>
      <w:i/>
      <w:iCs/>
      <w:sz w:val="21"/>
      <w:szCs w:val="21"/>
    </w:rPr>
  </w:style>
  <w:style w:type="paragraph" w:styleId="823">
    <w:name w:val="Title"/>
    <w:basedOn w:val="974"/>
    <w:next w:val="974"/>
    <w:link w:val="8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4">
    <w:name w:val="Title Char"/>
    <w:basedOn w:val="977"/>
    <w:link w:val="823"/>
    <w:uiPriority w:val="10"/>
    <w:rPr>
      <w:sz w:val="48"/>
      <w:szCs w:val="48"/>
    </w:rPr>
  </w:style>
  <w:style w:type="paragraph" w:styleId="825">
    <w:name w:val="Subtitle"/>
    <w:basedOn w:val="974"/>
    <w:next w:val="974"/>
    <w:link w:val="826"/>
    <w:uiPriority w:val="11"/>
    <w:qFormat/>
    <w:pPr>
      <w:spacing w:before="200" w:after="200"/>
    </w:pPr>
    <w:rPr>
      <w:sz w:val="24"/>
      <w:szCs w:val="24"/>
    </w:rPr>
  </w:style>
  <w:style w:type="character" w:styleId="826">
    <w:name w:val="Subtitle Char"/>
    <w:basedOn w:val="977"/>
    <w:link w:val="825"/>
    <w:uiPriority w:val="11"/>
    <w:rPr>
      <w:sz w:val="24"/>
      <w:szCs w:val="24"/>
    </w:rPr>
  </w:style>
  <w:style w:type="paragraph" w:styleId="827">
    <w:name w:val="Quote"/>
    <w:basedOn w:val="974"/>
    <w:next w:val="974"/>
    <w:link w:val="828"/>
    <w:uiPriority w:val="29"/>
    <w:qFormat/>
    <w:pPr>
      <w:ind w:left="720" w:right="720"/>
    </w:pPr>
    <w:rPr>
      <w:i/>
    </w:rPr>
  </w:style>
  <w:style w:type="character" w:styleId="828">
    <w:name w:val="Quote Char"/>
    <w:link w:val="827"/>
    <w:uiPriority w:val="29"/>
    <w:rPr>
      <w:i/>
    </w:rPr>
  </w:style>
  <w:style w:type="paragraph" w:styleId="829">
    <w:name w:val="Intense Quote"/>
    <w:basedOn w:val="974"/>
    <w:next w:val="974"/>
    <w:link w:val="8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0">
    <w:name w:val="Intense Quote Char"/>
    <w:link w:val="829"/>
    <w:uiPriority w:val="30"/>
    <w:rPr>
      <w:i/>
    </w:rPr>
  </w:style>
  <w:style w:type="character" w:styleId="831">
    <w:name w:val="Header Char"/>
    <w:basedOn w:val="977"/>
    <w:link w:val="993"/>
    <w:uiPriority w:val="99"/>
  </w:style>
  <w:style w:type="character" w:styleId="832">
    <w:name w:val="Footer Char"/>
    <w:basedOn w:val="977"/>
    <w:link w:val="991"/>
    <w:uiPriority w:val="99"/>
  </w:style>
  <w:style w:type="paragraph" w:styleId="833">
    <w:name w:val="Caption"/>
    <w:basedOn w:val="974"/>
    <w:next w:val="9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991"/>
    <w:uiPriority w:val="99"/>
  </w:style>
  <w:style w:type="table" w:styleId="835">
    <w:name w:val="Table Grid Light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2"/>
    <w:basedOn w:val="9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9">
    <w:name w:val="Plain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Plain Table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>
    <w:name w:val="Grid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Grid Table 4 - Accent 1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4">
    <w:name w:val="Grid Table 4 - Accent 2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Grid Table 4 - Accent 3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6">
    <w:name w:val="Grid Table 4 - Accent 4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Grid Table 4 - Accent 5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Grid Table 4 - Accent 6"/>
    <w:basedOn w:val="9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Grid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6">
    <w:name w:val="Grid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7">
    <w:name w:val="Grid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8">
    <w:name w:val="Grid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9">
    <w:name w:val="Grid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0">
    <w:name w:val="Grid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1">
    <w:name w:val="Grid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8">
    <w:name w:val="List Table 2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9">
    <w:name w:val="List Table 2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0">
    <w:name w:val="List Table 2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1">
    <w:name w:val="List Table 2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2">
    <w:name w:val="List Table 2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3">
    <w:name w:val="List Table 2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4">
    <w:name w:val="List Table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5 Dark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6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6">
    <w:name w:val="List Table 6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7">
    <w:name w:val="List Table 6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8">
    <w:name w:val="List Table 6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9">
    <w:name w:val="List Table 6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0">
    <w:name w:val="List Table 6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1">
    <w:name w:val="List Table 6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2">
    <w:name w:val="List Table 7 Colorful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3">
    <w:name w:val="List Table 7 Colorful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34">
    <w:name w:val="List Table 7 Colorful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35">
    <w:name w:val="List Table 7 Colorful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6">
    <w:name w:val="List Table 7 Colorful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7">
    <w:name w:val="List Table 7 Colorful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38">
    <w:name w:val="List Table 7 Colorful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9">
    <w:name w:val="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0">
    <w:name w:val="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1">
    <w:name w:val="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2">
    <w:name w:val="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3">
    <w:name w:val="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4">
    <w:name w:val="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45">
    <w:name w:val="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6">
    <w:name w:val="Bordered &amp; Lined - Accent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Bordered &amp; Lined - Accent 1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948">
    <w:name w:val="Bordered &amp; Lined - Accent 2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9">
    <w:name w:val="Bordered &amp; Lined - Accent 3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0">
    <w:name w:val="Bordered &amp; Lined - Accent 4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1">
    <w:name w:val="Bordered &amp; Lined - Accent 5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952">
    <w:name w:val="Bordered &amp; Lined - Accent 6"/>
    <w:basedOn w:val="9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3">
    <w:name w:val="Bordered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4">
    <w:name w:val="Bordered - Accent 1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5">
    <w:name w:val="Bordered - Accent 2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6">
    <w:name w:val="Bordered - Accent 3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7">
    <w:name w:val="Bordered - Accent 4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8">
    <w:name w:val="Bordered - Accent 5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9">
    <w:name w:val="Bordered - Accent 6"/>
    <w:basedOn w:val="9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60">
    <w:name w:val="footnote text"/>
    <w:basedOn w:val="974"/>
    <w:link w:val="961"/>
    <w:uiPriority w:val="99"/>
    <w:semiHidden/>
    <w:unhideWhenUsed/>
    <w:pPr>
      <w:spacing w:after="40" w:line="240" w:lineRule="auto"/>
    </w:pPr>
    <w:rPr>
      <w:sz w:val="18"/>
    </w:rPr>
  </w:style>
  <w:style w:type="character" w:styleId="961">
    <w:name w:val="Footnote Text Char"/>
    <w:link w:val="960"/>
    <w:uiPriority w:val="99"/>
    <w:rPr>
      <w:sz w:val="18"/>
    </w:rPr>
  </w:style>
  <w:style w:type="character" w:styleId="962">
    <w:name w:val="footnote reference"/>
    <w:basedOn w:val="977"/>
    <w:uiPriority w:val="99"/>
    <w:unhideWhenUsed/>
    <w:rPr>
      <w:vertAlign w:val="superscript"/>
    </w:rPr>
  </w:style>
  <w:style w:type="paragraph" w:styleId="963">
    <w:name w:val="endnote text"/>
    <w:basedOn w:val="974"/>
    <w:link w:val="964"/>
    <w:uiPriority w:val="99"/>
    <w:semiHidden/>
    <w:unhideWhenUsed/>
    <w:pPr>
      <w:spacing w:after="0" w:line="240" w:lineRule="auto"/>
    </w:pPr>
    <w:rPr>
      <w:sz w:val="20"/>
    </w:rPr>
  </w:style>
  <w:style w:type="character" w:styleId="964">
    <w:name w:val="Endnote Text Char"/>
    <w:link w:val="963"/>
    <w:uiPriority w:val="99"/>
    <w:rPr>
      <w:sz w:val="20"/>
    </w:rPr>
  </w:style>
  <w:style w:type="character" w:styleId="965">
    <w:name w:val="endnote reference"/>
    <w:basedOn w:val="977"/>
    <w:uiPriority w:val="99"/>
    <w:semiHidden/>
    <w:unhideWhenUsed/>
    <w:rPr>
      <w:vertAlign w:val="superscript"/>
    </w:rPr>
  </w:style>
  <w:style w:type="paragraph" w:styleId="966">
    <w:name w:val="toc 3"/>
    <w:basedOn w:val="974"/>
    <w:next w:val="974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4"/>
    <w:next w:val="974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4"/>
    <w:next w:val="974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4"/>
    <w:next w:val="974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4"/>
    <w:next w:val="974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4"/>
    <w:next w:val="974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4"/>
    <w:next w:val="974"/>
    <w:uiPriority w:val="39"/>
    <w:unhideWhenUsed/>
    <w:pPr>
      <w:ind w:left="2268" w:right="0" w:firstLine="0"/>
      <w:spacing w:after="57"/>
    </w:pPr>
  </w:style>
  <w:style w:type="paragraph" w:styleId="973">
    <w:name w:val="table of figures"/>
    <w:basedOn w:val="974"/>
    <w:next w:val="974"/>
    <w:uiPriority w:val="99"/>
    <w:unhideWhenUsed/>
    <w:pPr>
      <w:spacing w:after="0" w:afterAutospacing="0"/>
    </w:pPr>
  </w:style>
  <w:style w:type="paragraph" w:styleId="974" w:default="1">
    <w:name w:val="Normal"/>
    <w:qFormat/>
    <w:pPr>
      <w:ind w:right="67" w:firstLine="557"/>
      <w:jc w:val="both"/>
      <w:spacing w:after="5" w:line="366" w:lineRule="auto"/>
    </w:pPr>
    <w:rPr>
      <w:rFonts w:ascii="Times New Roman" w:hAnsi="Times New Roman" w:eastAsia="Times New Roman" w:cs="Times New Roman"/>
      <w:color w:val="000000"/>
      <w:sz w:val="28"/>
    </w:rPr>
  </w:style>
  <w:style w:type="paragraph" w:styleId="975">
    <w:name w:val="Heading 1"/>
    <w:next w:val="974"/>
    <w:link w:val="980"/>
    <w:uiPriority w:val="9"/>
    <w:qFormat/>
    <w:pPr>
      <w:ind w:left="181" w:right="67" w:hanging="10"/>
      <w:jc w:val="center"/>
      <w:keepLines/>
      <w:keepNext/>
      <w:spacing w:after="0"/>
      <w:outlineLvl w:val="0"/>
    </w:pPr>
    <w:rPr>
      <w:rFonts w:ascii="Times New Roman" w:hAnsi="Times New Roman" w:eastAsia="Times New Roman" w:cs="Times New Roman"/>
      <w:b/>
      <w:color w:val="000000"/>
      <w:sz w:val="28"/>
    </w:rPr>
  </w:style>
  <w:style w:type="paragraph" w:styleId="976">
    <w:name w:val="Heading 2"/>
    <w:basedOn w:val="975"/>
    <w:next w:val="974"/>
    <w:link w:val="995"/>
    <w:uiPriority w:val="9"/>
    <w:unhideWhenUsed/>
    <w:qFormat/>
    <w:pPr>
      <w:spacing w:before="40"/>
      <w:outlineLvl w:val="1"/>
    </w:pPr>
    <w:rPr>
      <w:rFonts w:asciiTheme="majorHAnsi" w:hAnsiTheme="majorHAnsi" w:eastAsiaTheme="majorEastAsia" w:cstheme="majorBidi"/>
      <w:color w:val="auto"/>
      <w:szCs w:val="26"/>
    </w:rPr>
  </w:style>
  <w:style w:type="character" w:styleId="977" w:default="1">
    <w:name w:val="Default Paragraph Font"/>
    <w:uiPriority w:val="1"/>
    <w:semiHidden/>
    <w:unhideWhenUsed/>
  </w:style>
  <w:style w:type="table" w:styleId="9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9" w:default="1">
    <w:name w:val="No List"/>
    <w:uiPriority w:val="99"/>
    <w:semiHidden/>
    <w:unhideWhenUsed/>
  </w:style>
  <w:style w:type="character" w:styleId="980" w:customStyle="1">
    <w:name w:val="Заголовок 1 Знак"/>
    <w:link w:val="975"/>
    <w:rPr>
      <w:rFonts w:ascii="Times New Roman" w:hAnsi="Times New Roman" w:eastAsia="Times New Roman" w:cs="Times New Roman"/>
      <w:b/>
      <w:color w:val="000000"/>
      <w:sz w:val="28"/>
    </w:rPr>
  </w:style>
  <w:style w:type="paragraph" w:styleId="981" w:customStyle="1">
    <w:name w:val="footnote description"/>
    <w:next w:val="974"/>
    <w:link w:val="982"/>
    <w:hidden/>
    <w:pPr>
      <w:jc w:val="both"/>
      <w:spacing w:after="0" w:line="264" w:lineRule="auto"/>
    </w:pPr>
    <w:rPr>
      <w:rFonts w:ascii="Times New Roman" w:hAnsi="Times New Roman" w:eastAsia="Times New Roman" w:cs="Times New Roman"/>
      <w:color w:val="000000"/>
      <w:sz w:val="20"/>
    </w:rPr>
  </w:style>
  <w:style w:type="character" w:styleId="982" w:customStyle="1">
    <w:name w:val="footnote description Char"/>
    <w:link w:val="981"/>
    <w:rPr>
      <w:rFonts w:ascii="Times New Roman" w:hAnsi="Times New Roman" w:eastAsia="Times New Roman" w:cs="Times New Roman"/>
      <w:color w:val="000000"/>
      <w:sz w:val="20"/>
    </w:rPr>
  </w:style>
  <w:style w:type="character" w:styleId="983" w:customStyle="1">
    <w:name w:val="footnote mark"/>
    <w:hidden/>
    <w:rPr>
      <w:rFonts w:ascii="Times New Roman" w:hAnsi="Times New Roman" w:eastAsia="Times New Roman" w:cs="Times New Roman"/>
      <w:color w:val="000000"/>
      <w:sz w:val="20"/>
      <w:vertAlign w:val="superscript"/>
    </w:rPr>
  </w:style>
  <w:style w:type="table" w:styleId="98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85">
    <w:name w:val="TOC Heading"/>
    <w:basedOn w:val="975"/>
    <w:next w:val="974"/>
    <w:uiPriority w:val="39"/>
    <w:unhideWhenUsed/>
    <w:qFormat/>
    <w:pPr>
      <w:ind w:left="0" w:right="0" w:firstLine="0"/>
      <w:jc w:val="left"/>
      <w:spacing w:before="240"/>
      <w:outlineLvl w:val="9"/>
    </w:pPr>
    <w:rPr>
      <w:rFonts w:asciiTheme="majorHAnsi" w:hAnsiTheme="majorHAnsi" w:eastAsiaTheme="majorEastAsia" w:cstheme="majorBidi"/>
      <w:b w:val="0"/>
      <w:color w:val="2f5496" w:themeColor="accent1" w:themeShade="BF"/>
      <w:sz w:val="32"/>
      <w:szCs w:val="32"/>
    </w:rPr>
  </w:style>
  <w:style w:type="paragraph" w:styleId="986">
    <w:name w:val="toc 1"/>
    <w:basedOn w:val="974"/>
    <w:next w:val="974"/>
    <w:uiPriority w:val="39"/>
    <w:unhideWhenUsed/>
    <w:pPr>
      <w:spacing w:after="100"/>
      <w:tabs>
        <w:tab w:val="left" w:pos="1100" w:leader="none"/>
        <w:tab w:val="right" w:pos="9489" w:leader="dot"/>
      </w:tabs>
    </w:pPr>
  </w:style>
  <w:style w:type="character" w:styleId="987">
    <w:name w:val="Hyperlink"/>
    <w:basedOn w:val="977"/>
    <w:uiPriority w:val="99"/>
    <w:unhideWhenUsed/>
    <w:rPr>
      <w:color w:val="0563c1" w:themeColor="hyperlink"/>
      <w:u w:val="single"/>
    </w:rPr>
  </w:style>
  <w:style w:type="paragraph" w:styleId="988">
    <w:name w:val="List Paragraph"/>
    <w:basedOn w:val="974"/>
    <w:uiPriority w:val="34"/>
    <w:qFormat/>
    <w:pPr>
      <w:contextualSpacing/>
      <w:ind w:left="720"/>
    </w:pPr>
  </w:style>
  <w:style w:type="paragraph" w:styleId="989">
    <w:name w:val="Balloon Text"/>
    <w:basedOn w:val="974"/>
    <w:link w:val="99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90" w:customStyle="1">
    <w:name w:val="Текст выноски Знак"/>
    <w:basedOn w:val="977"/>
    <w:link w:val="989"/>
    <w:uiPriority w:val="99"/>
    <w:semiHidden/>
    <w:rPr>
      <w:rFonts w:ascii="Segoe UI" w:hAnsi="Segoe UI" w:eastAsia="Times New Roman" w:cs="Segoe UI"/>
      <w:color w:val="000000"/>
      <w:sz w:val="18"/>
      <w:szCs w:val="18"/>
    </w:rPr>
  </w:style>
  <w:style w:type="paragraph" w:styleId="991">
    <w:name w:val="Footer"/>
    <w:basedOn w:val="974"/>
    <w:link w:val="9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2" w:customStyle="1">
    <w:name w:val="Нижний колонтитул Знак"/>
    <w:basedOn w:val="977"/>
    <w:link w:val="991"/>
    <w:uiPriority w:val="99"/>
    <w:rPr>
      <w:rFonts w:ascii="Times New Roman" w:hAnsi="Times New Roman" w:eastAsia="Times New Roman" w:cs="Times New Roman"/>
      <w:color w:val="000000"/>
      <w:sz w:val="28"/>
    </w:rPr>
  </w:style>
  <w:style w:type="paragraph" w:styleId="993">
    <w:name w:val="Header"/>
    <w:basedOn w:val="974"/>
    <w:link w:val="994"/>
    <w:uiPriority w:val="99"/>
    <w:unhideWhenUsed/>
    <w:pPr>
      <w:ind w:right="0" w:firstLine="0"/>
      <w:jc w:val="left"/>
      <w:spacing w:after="0" w:line="240" w:lineRule="auto"/>
      <w:tabs>
        <w:tab w:val="center" w:pos="4680" w:leader="none"/>
        <w:tab w:val="right" w:pos="9360" w:leader="none"/>
      </w:tabs>
    </w:pPr>
    <w:rPr>
      <w:rFonts w:asciiTheme="minorHAnsi" w:hAnsiTheme="minorHAnsi" w:eastAsiaTheme="minorEastAsia"/>
      <w:color w:val="auto"/>
      <w:sz w:val="22"/>
    </w:rPr>
  </w:style>
  <w:style w:type="character" w:styleId="994" w:customStyle="1">
    <w:name w:val="Верхний колонтитул Знак"/>
    <w:basedOn w:val="977"/>
    <w:link w:val="993"/>
    <w:uiPriority w:val="99"/>
    <w:rPr>
      <w:rFonts w:cs="Times New Roman"/>
    </w:rPr>
  </w:style>
  <w:style w:type="character" w:styleId="995" w:customStyle="1">
    <w:name w:val="Заголовок 2 Знак"/>
    <w:basedOn w:val="977"/>
    <w:link w:val="976"/>
    <w:uiPriority w:val="9"/>
    <w:rPr>
      <w:rFonts w:asciiTheme="majorHAnsi" w:hAnsiTheme="majorHAnsi" w:eastAsiaTheme="majorEastAsia" w:cstheme="majorBidi"/>
      <w:b/>
      <w:sz w:val="28"/>
      <w:szCs w:val="26"/>
    </w:rPr>
  </w:style>
  <w:style w:type="paragraph" w:styleId="99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97">
    <w:name w:val="annotation reference"/>
    <w:basedOn w:val="977"/>
    <w:uiPriority w:val="99"/>
    <w:semiHidden/>
    <w:unhideWhenUsed/>
    <w:rPr>
      <w:sz w:val="16"/>
      <w:szCs w:val="16"/>
    </w:rPr>
  </w:style>
  <w:style w:type="paragraph" w:styleId="998">
    <w:name w:val="annotation text"/>
    <w:basedOn w:val="974"/>
    <w:link w:val="9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9" w:customStyle="1">
    <w:name w:val="Текст примечания Знак"/>
    <w:basedOn w:val="977"/>
    <w:link w:val="998"/>
    <w:uiPriority w:val="99"/>
    <w:semiHidden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basedOn w:val="999"/>
    <w:link w:val="1000"/>
    <w:uiPriority w:val="99"/>
    <w:semiHidden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paragraph" w:styleId="1002">
    <w:name w:val="Body Text"/>
    <w:basedOn w:val="974"/>
    <w:link w:val="1003"/>
    <w:uiPriority w:val="1"/>
    <w:qFormat/>
    <w:pPr>
      <w:ind w:right="0" w:firstLine="0"/>
      <w:jc w:val="left"/>
      <w:spacing w:after="0" w:line="240" w:lineRule="auto"/>
      <w:widowControl w:val="off"/>
    </w:pPr>
    <w:rPr>
      <w:rFonts w:ascii="Arial Unicode MS" w:hAnsi="Arial Unicode MS" w:eastAsia="Arial Unicode MS" w:cs="Arial Unicode MS"/>
      <w:color w:val="auto"/>
      <w:sz w:val="16"/>
      <w:szCs w:val="16"/>
      <w:lang w:val="en-US" w:eastAsia="en-US"/>
    </w:rPr>
  </w:style>
  <w:style w:type="character" w:styleId="1003" w:customStyle="1">
    <w:name w:val="Основной текст Знак"/>
    <w:basedOn w:val="977"/>
    <w:link w:val="1002"/>
    <w:uiPriority w:val="1"/>
    <w:rPr>
      <w:rFonts w:ascii="Arial Unicode MS" w:hAnsi="Arial Unicode MS" w:eastAsia="Arial Unicode MS" w:cs="Arial Unicode MS"/>
      <w:sz w:val="16"/>
      <w:szCs w:val="16"/>
      <w:lang w:val="en-US" w:eastAsia="en-US"/>
    </w:rPr>
  </w:style>
  <w:style w:type="paragraph" w:styleId="1004">
    <w:name w:val="toc 2"/>
    <w:basedOn w:val="974"/>
    <w:next w:val="974"/>
    <w:uiPriority w:val="39"/>
    <w:unhideWhenUsed/>
    <w:pPr>
      <w:ind w:left="280"/>
      <w:spacing w:after="100"/>
    </w:pPr>
  </w:style>
  <w:style w:type="paragraph" w:styleId="1005">
    <w:name w:val="No Spacing"/>
    <w:uiPriority w:val="1"/>
    <w:qFormat/>
    <w:pPr>
      <w:ind w:right="67" w:firstLine="557"/>
      <w:jc w:val="both"/>
      <w:spacing w:after="0" w:line="240" w:lineRule="auto"/>
    </w:pPr>
    <w:rPr>
      <w:rFonts w:ascii="Times New Roman" w:hAnsi="Times New Roman" w:eastAsia="Times New Roman" w:cs="Times New Roman"/>
      <w:color w:val="000000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Relationship Id="rId14" Type="http://schemas.openxmlformats.org/officeDocument/2006/relationships/comments" Target="comments.xml" /><Relationship Id="rId15" Type="http://schemas.microsoft.com/office/2011/relationships/commentsExtended" Target="commentsExtended.xml" /><Relationship Id="rId16" Type="http://schemas.microsoft.com/office/2018/08/relationships/commentsExtensible" Target="commentsExtensible.xml" /><Relationship Id="rId17" Type="http://schemas.microsoft.com/office/2016/09/relationships/commentsIds" Target="commentsIds.xml" /><Relationship Id="rId18" Type="http://schemas.microsoft.com/office/2011/relationships/people" Target="people.xml" /><Relationship Id="rId19" Type="http://schemas.onlyoffice.com/commentsDocument" Target="commentsDocument.xml" /><Relationship Id="rId20" Type="http://schemas.onlyoffice.com/commentsExtendedDocument" Target="commentsExtendedDocument.xml" /><Relationship Id="rId21" Type="http://schemas.onlyoffice.com/commentsExtensibleDocument" Target="commentsExtensibleDocument.xml" /><Relationship Id="rId22" Type="http://schemas.onlyoffice.com/commentsIdsDocument" Target="commentsIdsDocument.xml" /><Relationship Id="rId23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641E-835D-411E-BF71-E5B714D7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&lt;4D6963726F736F667420576F7264202D20CFEEEBEEE6E5EDE8E520EE20CFCEC020D1CFCA2DC8D25F323031392E30322E3036&gt;</dc:title>
  <dc:subject/>
  <dc:creator>KuzoraI</dc:creator>
  <cp:keywords/>
  <cp:lastModifiedBy>AI Alliance</cp:lastModifiedBy>
  <cp:revision>12</cp:revision>
  <dcterms:created xsi:type="dcterms:W3CDTF">2021-02-03T10:14:00Z</dcterms:created>
  <dcterms:modified xsi:type="dcterms:W3CDTF">2024-09-04T10:52:43Z</dcterms:modified>
</cp:coreProperties>
</file>